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1.0 -->
  <w:body>
    <w:p w:rsidR="00C63BCF" w:rsidRPr="00C63BCF" w:rsidP="00C63BCF" w14:paraId="43AD1D42" w14:textId="77777777">
      <w:pPr>
        <w:autoSpaceDE w:val="0"/>
        <w:autoSpaceDN w:val="0"/>
        <w:adjustRightInd w:val="0"/>
        <w:spacing w:line="288" w:lineRule="auto"/>
        <w:jc w:val="left"/>
        <w:rPr>
          <w:rFonts w:ascii="Times New Roman" w:hAnsi="Times New Roman"/>
          <w:color w:val="000000"/>
          <w:kern w:val="0"/>
          <w:sz w:val="24"/>
          <w:szCs w:val="24"/>
        </w:rPr>
      </w:pPr>
    </w:p>
    <w:p w:rsidR="00C63BCF" w:rsidRPr="00C63BCF" w:rsidP="00C63BCF" w14:paraId="634850DB"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6852C044"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49A6E152"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232F9B" w14:paraId="221EE0DB" w14:textId="77777777">
      <w:pPr>
        <w:autoSpaceDE w:val="0"/>
        <w:autoSpaceDN w:val="0"/>
        <w:adjustRightInd w:val="0"/>
        <w:spacing w:line="480" w:lineRule="auto"/>
        <w:jc w:val="center"/>
        <w:rPr>
          <w:rFonts w:ascii="Times New Roman" w:hAnsi="Times New Roman"/>
          <w:color w:val="000000"/>
          <w:kern w:val="0"/>
          <w:sz w:val="24"/>
          <w:szCs w:val="24"/>
        </w:rPr>
      </w:pPr>
    </w:p>
    <w:p w:rsidR="00BD00A7" w:rsidP="00BD00A7" w14:paraId="15A4F1C6" w14:textId="77777777">
      <w:pPr>
        <w:autoSpaceDE w:val="0"/>
        <w:autoSpaceDN w:val="0"/>
        <w:adjustRightInd w:val="0"/>
        <w:spacing w:before="30" w:line="288" w:lineRule="auto"/>
        <w:ind w:left="15"/>
        <w:jc w:val="center"/>
        <w:rPr>
          <w:rFonts w:ascii="宋体"/>
          <w:b/>
          <w:color w:val="000000"/>
          <w:kern w:val="0"/>
          <w:sz w:val="28"/>
          <w:szCs w:val="24"/>
        </w:rPr>
      </w:pPr>
      <w:r w:rsidR="001E621F">
        <w:rPr>
          <w:rFonts w:ascii="宋体"/>
          <w:b/>
          <w:noProof/>
          <w:color w:val="000000"/>
          <w:kern w:val="0"/>
          <w:sz w:val="28"/>
          <w:szCs w:val="24"/>
        </w:rPr>
        <w:t>创金合信湖州银行1号单一资产管理计划</w:t>
      </w:r>
      <w:r>
        <w:rPr>
          <w:rFonts w:ascii="宋体"/>
          <w:b/>
          <w:color w:val="000000"/>
          <w:kern w:val="0"/>
          <w:sz w:val="28"/>
          <w:szCs w:val="24"/>
        </w:rPr>
        <w:t xml:space="preserve"> </w:t>
      </w:r>
    </w:p>
    <w:p w:rsidR="00BD00A7" w:rsidP="00BD00A7" w14:paraId="73DC05F4" w14:textId="77777777">
      <w:pPr>
        <w:autoSpaceDE w:val="0"/>
        <w:autoSpaceDN w:val="0"/>
        <w:adjustRightInd w:val="0"/>
        <w:spacing w:line="288" w:lineRule="auto"/>
        <w:jc w:val="left"/>
        <w:rPr>
          <w:rFonts w:ascii="MS Sans Serif" w:hAnsi="MS Sans Serif"/>
          <w:color w:val="000000"/>
          <w:kern w:val="0"/>
          <w:sz w:val="8"/>
          <w:szCs w:val="24"/>
        </w:rPr>
      </w:pPr>
    </w:p>
    <w:p w:rsidR="00BD00A7" w:rsidRPr="00262A19" w:rsidP="00BD00A7" w14:paraId="5ADD575A" w14:textId="2DFC03FD">
      <w:pPr>
        <w:autoSpaceDE w:val="0"/>
        <w:autoSpaceDN w:val="0"/>
        <w:adjustRightInd w:val="0"/>
        <w:spacing w:before="30" w:line="288" w:lineRule="auto"/>
        <w:ind w:left="15"/>
        <w:jc w:val="center"/>
        <w:rPr>
          <w:rFonts w:ascii="宋体"/>
          <w:b/>
          <w:color w:val="000000"/>
          <w:kern w:val="0"/>
          <w:sz w:val="28"/>
          <w:szCs w:val="24"/>
        </w:rPr>
      </w:pPr>
      <w:r w:rsidR="001E621F">
        <w:rPr>
          <w:rFonts w:ascii="宋体"/>
          <w:b/>
          <w:noProof/>
          <w:color w:val="000000"/>
          <w:kern w:val="0"/>
          <w:sz w:val="28"/>
          <w:szCs w:val="24"/>
        </w:rPr>
        <w:t>2023</w:t>
      </w:r>
      <w:r>
        <w:rPr>
          <w:rFonts w:ascii="宋体"/>
          <w:b/>
          <w:color w:val="000000"/>
          <w:kern w:val="0"/>
          <w:sz w:val="28"/>
          <w:szCs w:val="24"/>
        </w:rPr>
        <w:t>年</w:t>
      </w:r>
      <w:r w:rsidR="00D91FF5">
        <w:rPr>
          <w:rFonts w:ascii="宋体" w:hint="eastAsia"/>
          <w:b/>
          <w:color w:val="000000"/>
          <w:kern w:val="0"/>
          <w:sz w:val="28"/>
          <w:szCs w:val="24"/>
        </w:rPr>
        <w:t>第</w:t>
      </w:r>
      <w:r w:rsidR="00E87FE8">
        <w:rPr>
          <w:rFonts w:ascii="宋体"/>
          <w:b/>
          <w:noProof/>
          <w:color w:val="000000"/>
          <w:kern w:val="0"/>
          <w:sz w:val="28"/>
          <w:szCs w:val="24"/>
        </w:rPr>
        <w:t>4</w:t>
      </w:r>
      <w:r w:rsidR="00D91FF5">
        <w:rPr>
          <w:rFonts w:ascii="宋体" w:hint="eastAsia"/>
          <w:b/>
          <w:color w:val="000000"/>
          <w:kern w:val="0"/>
          <w:sz w:val="28"/>
          <w:szCs w:val="24"/>
        </w:rPr>
        <w:t>季</w:t>
      </w:r>
      <w:r>
        <w:rPr>
          <w:rFonts w:ascii="宋体"/>
          <w:b/>
          <w:color w:val="000000"/>
          <w:kern w:val="0"/>
          <w:sz w:val="28"/>
          <w:szCs w:val="24"/>
        </w:rPr>
        <w:t>度</w:t>
      </w:r>
      <w:r>
        <w:rPr>
          <w:rFonts w:ascii="宋体" w:hint="eastAsia"/>
          <w:b/>
          <w:color w:val="000000"/>
          <w:kern w:val="0"/>
          <w:sz w:val="28"/>
          <w:szCs w:val="24"/>
        </w:rPr>
        <w:t>报告</w:t>
      </w:r>
    </w:p>
    <w:p w:rsidR="00BD00A7" w:rsidRPr="00262A19" w:rsidP="00BD00A7" w14:paraId="786CFF51" w14:textId="77777777">
      <w:pPr>
        <w:autoSpaceDE w:val="0"/>
        <w:autoSpaceDN w:val="0"/>
        <w:adjustRightInd w:val="0"/>
        <w:spacing w:line="288" w:lineRule="auto"/>
        <w:jc w:val="left"/>
        <w:rPr>
          <w:rFonts w:ascii="MS Sans Serif" w:hAnsi="MS Sans Serif"/>
          <w:color w:val="000000"/>
          <w:kern w:val="0"/>
          <w:sz w:val="24"/>
          <w:szCs w:val="24"/>
        </w:rPr>
      </w:pPr>
    </w:p>
    <w:p w:rsidR="00BD00A7" w:rsidP="00BD00A7" w14:paraId="088BCEA6" w14:textId="5EF4AE00">
      <w:pPr>
        <w:autoSpaceDE w:val="0"/>
        <w:autoSpaceDN w:val="0"/>
        <w:adjustRightInd w:val="0"/>
        <w:spacing w:before="30" w:line="288" w:lineRule="auto"/>
        <w:ind w:left="15"/>
        <w:jc w:val="center"/>
        <w:rPr>
          <w:rFonts w:ascii="宋体"/>
          <w:b/>
          <w:color w:val="000000"/>
          <w:kern w:val="0"/>
          <w:sz w:val="28"/>
          <w:szCs w:val="24"/>
        </w:rPr>
      </w:pPr>
      <w:r>
        <w:rPr>
          <w:rFonts w:ascii="宋体"/>
          <w:b/>
          <w:noProof/>
          <w:color w:val="000000"/>
          <w:kern w:val="0"/>
          <w:sz w:val="28"/>
          <w:szCs w:val="24"/>
        </w:rPr>
        <w:t>2023年12月31日</w:t>
      </w:r>
    </w:p>
    <w:p w:rsidR="00C63BCF" w:rsidRPr="00BD00A7" w:rsidP="00C63BCF" w14:paraId="76837278"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2BCB6054"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343B3E5F"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5FD4A3C4"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7B9B8D90"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1992B4B7"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2C2B9D6F"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204373B5"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56BAAC10"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5267BC53"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70B0A62C"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43E3E703" w14:textId="77777777">
      <w:pPr>
        <w:autoSpaceDE w:val="0"/>
        <w:autoSpaceDN w:val="0"/>
        <w:adjustRightInd w:val="0"/>
        <w:spacing w:line="288" w:lineRule="auto"/>
        <w:jc w:val="center"/>
        <w:rPr>
          <w:rFonts w:ascii="Times New Roman" w:hAnsi="Times New Roman"/>
          <w:color w:val="000000"/>
          <w:kern w:val="0"/>
          <w:sz w:val="24"/>
          <w:szCs w:val="24"/>
        </w:rPr>
      </w:pPr>
    </w:p>
    <w:p w:rsidR="00C63BCF" w:rsidRPr="00C63BCF" w:rsidP="00C63BCF" w14:paraId="19222FD7" w14:textId="77777777">
      <w:pPr>
        <w:autoSpaceDE w:val="0"/>
        <w:autoSpaceDN w:val="0"/>
        <w:adjustRightInd w:val="0"/>
        <w:spacing w:line="288" w:lineRule="auto"/>
        <w:jc w:val="left"/>
        <w:rPr>
          <w:rFonts w:ascii="Times New Roman" w:hAnsi="Times New Roman"/>
          <w:color w:val="000000"/>
          <w:kern w:val="0"/>
          <w:sz w:val="24"/>
          <w:szCs w:val="24"/>
        </w:rPr>
      </w:pPr>
    </w:p>
    <w:p w:rsidR="00C63BCF" w:rsidRPr="00C63BCF" w:rsidP="00A30F23" w14:paraId="4F920519" w14:textId="77777777">
      <w:pPr>
        <w:autoSpaceDE w:val="0"/>
        <w:autoSpaceDN w:val="0"/>
        <w:adjustRightInd w:val="0"/>
        <w:spacing w:before="30" w:line="288" w:lineRule="auto"/>
        <w:ind w:left="2161" w:leftChars="1029"/>
        <w:jc w:val="left"/>
        <w:rPr>
          <w:rFonts w:ascii="Times New Roman" w:hAnsi="Times New Roman"/>
          <w:b/>
          <w:color w:val="000000"/>
          <w:kern w:val="0"/>
          <w:sz w:val="28"/>
          <w:szCs w:val="24"/>
        </w:rPr>
      </w:pPr>
      <w:r w:rsidRPr="00C63BCF">
        <w:rPr>
          <w:rFonts w:ascii="Times New Roman" w:hAnsi="Times New Roman" w:hint="eastAsia"/>
          <w:b/>
          <w:color w:val="000000"/>
          <w:kern w:val="0"/>
          <w:sz w:val="28"/>
          <w:szCs w:val="24"/>
        </w:rPr>
        <w:t>资产管理人：</w:t>
      </w:r>
      <w:r w:rsidRPr="001E621F" w:rsidR="001E621F">
        <w:rPr>
          <w:rFonts w:ascii="宋体"/>
          <w:b/>
          <w:noProof/>
          <w:color w:val="000000"/>
          <w:kern w:val="0"/>
          <w:sz w:val="28"/>
          <w:szCs w:val="24"/>
        </w:rPr>
        <w:t>创金合信基金管理有限公司</w:t>
      </w:r>
    </w:p>
    <w:p w:rsidR="00C63BCF" w:rsidRPr="00C63BCF" w:rsidP="00A30F23" w14:paraId="2FDA808D" w14:textId="77777777">
      <w:pPr>
        <w:autoSpaceDE w:val="0"/>
        <w:autoSpaceDN w:val="0"/>
        <w:adjustRightInd w:val="0"/>
        <w:spacing w:before="30" w:line="288" w:lineRule="auto"/>
        <w:ind w:left="2161" w:leftChars="1029"/>
        <w:jc w:val="left"/>
        <w:rPr>
          <w:rFonts w:ascii="Times New Roman" w:hAnsi="Times New Roman"/>
          <w:b/>
          <w:color w:val="000000"/>
          <w:kern w:val="0"/>
          <w:sz w:val="28"/>
          <w:szCs w:val="24"/>
        </w:rPr>
      </w:pPr>
      <w:r w:rsidRPr="00C63BCF">
        <w:rPr>
          <w:rFonts w:ascii="Times New Roman" w:hAnsi="Times New Roman" w:hint="eastAsia"/>
          <w:b/>
          <w:color w:val="000000"/>
          <w:kern w:val="0"/>
          <w:sz w:val="28"/>
          <w:szCs w:val="24"/>
        </w:rPr>
        <w:t>资产托管人：</w:t>
      </w:r>
      <w:r w:rsidR="001E621F">
        <w:rPr>
          <w:rFonts w:ascii="宋体"/>
          <w:b/>
          <w:noProof/>
          <w:color w:val="000000"/>
          <w:kern w:val="0"/>
          <w:sz w:val="28"/>
          <w:szCs w:val="24"/>
        </w:rPr>
        <w:t>宁波银行股份有限公司</w:t>
      </w:r>
    </w:p>
    <w:p w:rsidR="00C63BCF" w:rsidRPr="00C63BCF" w:rsidP="00C63BCF" w14:paraId="6C826D59" w14:textId="77777777">
      <w:pPr>
        <w:autoSpaceDE w:val="0"/>
        <w:autoSpaceDN w:val="0"/>
        <w:adjustRightInd w:val="0"/>
        <w:spacing w:line="288" w:lineRule="auto"/>
        <w:jc w:val="left"/>
        <w:rPr>
          <w:rFonts w:ascii="Times New Roman" w:hAnsi="Times New Roman"/>
          <w:color w:val="000000"/>
          <w:kern w:val="0"/>
          <w:sz w:val="24"/>
          <w:szCs w:val="24"/>
        </w:rPr>
      </w:pPr>
    </w:p>
    <w:p w:rsidR="005376F3" w:rsidRPr="0075734B" w:rsidP="0075734B" w14:paraId="62A9DE26" w14:textId="77777777">
      <w:pPr>
        <w:autoSpaceDE w:val="0"/>
        <w:autoSpaceDN w:val="0"/>
        <w:adjustRightInd w:val="0"/>
        <w:spacing w:line="288" w:lineRule="auto"/>
        <w:jc w:val="center"/>
        <w:rPr>
          <w:rFonts w:ascii="Times New Roman" w:hAnsi="Times New Roman"/>
          <w:color w:val="000000"/>
          <w:kern w:val="0"/>
          <w:sz w:val="24"/>
          <w:szCs w:val="24"/>
        </w:rPr>
      </w:pPr>
    </w:p>
    <w:p w:rsidR="005376F3" w:rsidRPr="0075734B" w:rsidP="0075734B" w14:paraId="29BC4A86" w14:textId="77777777">
      <w:pPr>
        <w:autoSpaceDE w:val="0"/>
        <w:autoSpaceDN w:val="0"/>
        <w:adjustRightInd w:val="0"/>
        <w:spacing w:line="288" w:lineRule="auto"/>
        <w:jc w:val="center"/>
        <w:rPr>
          <w:rFonts w:ascii="Times New Roman" w:hAnsi="Times New Roman"/>
          <w:color w:val="000000"/>
          <w:kern w:val="0"/>
          <w:sz w:val="24"/>
          <w:szCs w:val="24"/>
        </w:rPr>
      </w:pPr>
    </w:p>
    <w:p w:rsidR="005376F3" w:rsidRPr="0075734B" w:rsidP="0075734B" w14:paraId="3783ADAE" w14:textId="77777777">
      <w:pPr>
        <w:autoSpaceDE w:val="0"/>
        <w:autoSpaceDN w:val="0"/>
        <w:adjustRightInd w:val="0"/>
        <w:spacing w:line="288" w:lineRule="auto"/>
        <w:jc w:val="center"/>
        <w:rPr>
          <w:rFonts w:ascii="Times New Roman" w:hAnsi="Times New Roman"/>
          <w:color w:val="000000"/>
          <w:kern w:val="0"/>
          <w:sz w:val="24"/>
          <w:szCs w:val="24"/>
        </w:rPr>
      </w:pPr>
    </w:p>
    <w:p w:rsidR="005376F3" w:rsidRPr="0075734B" w:rsidP="0075734B" w14:paraId="51AAAC20" w14:textId="77777777">
      <w:pPr>
        <w:autoSpaceDE w:val="0"/>
        <w:autoSpaceDN w:val="0"/>
        <w:adjustRightInd w:val="0"/>
        <w:spacing w:line="288" w:lineRule="auto"/>
        <w:jc w:val="center"/>
        <w:rPr>
          <w:rFonts w:ascii="Times New Roman" w:hAnsi="Times New Roman"/>
          <w:color w:val="000000"/>
          <w:kern w:val="0"/>
          <w:sz w:val="24"/>
          <w:szCs w:val="24"/>
        </w:rPr>
      </w:pPr>
    </w:p>
    <w:p w:rsidR="005376F3" w:rsidRPr="0075734B" w:rsidP="0075734B" w14:paraId="1B9A1F25" w14:textId="77777777">
      <w:pPr>
        <w:autoSpaceDE w:val="0"/>
        <w:autoSpaceDN w:val="0"/>
        <w:adjustRightInd w:val="0"/>
        <w:spacing w:line="288" w:lineRule="auto"/>
        <w:jc w:val="center"/>
        <w:rPr>
          <w:rFonts w:ascii="Times New Roman" w:hAnsi="Times New Roman"/>
          <w:color w:val="000000"/>
          <w:kern w:val="0"/>
          <w:sz w:val="24"/>
          <w:szCs w:val="24"/>
        </w:rPr>
      </w:pPr>
    </w:p>
    <w:p w:rsidR="00C32C5C" w:rsidP="008D5D85" w14:paraId="72230884" w14:textId="4C033295">
      <w:pPr>
        <w:jc w:val="center"/>
        <w:rPr>
          <w:rFonts w:ascii="宋体" w:hAnsi="宋体"/>
          <w:sz w:val="24"/>
          <w:szCs w:val="24"/>
        </w:rPr>
      </w:pPr>
      <w:r>
        <w:rPr>
          <w:rFonts w:ascii="Times New Roman" w:hAnsi="Times New Roman"/>
          <w:b/>
          <w:color w:val="000000"/>
          <w:kern w:val="0"/>
          <w:sz w:val="24"/>
          <w:szCs w:val="24"/>
        </w:rPr>
        <w:br w:type="page"/>
      </w:r>
      <w:r w:rsidRPr="001E621F" w:rsidR="001E621F">
        <w:rPr>
          <w:rFonts w:ascii="宋体" w:eastAsia="宋体" w:hAnsi="宋体" w:cs="宋体"/>
          <w:b/>
          <w:sz w:val="24"/>
          <w:szCs w:val="24"/>
        </w:rPr>
        <w:t>目录</w:t>
      </w:r>
    </w:p>
    <w:p>
      <w:pPr>
        <w:pStyle w:val="TOC1"/>
        <w:tabs>
          <w:tab w:val="right" w:leader="dot" w:pos="9080"/>
        </w:tabs>
        <w:rPr>
          <w:rFonts w:asciiTheme="minorHAnsi" w:hAnsiTheme="minorHAnsi"/>
          <w:noProof/>
          <w:sz w:val="22"/>
        </w:rPr>
      </w:pPr>
      <w:r w:rsidRPr="001E621F" w:rsidR="001E621F">
        <w:rPr>
          <w:rFonts w:ascii="宋体" w:eastAsia="宋体" w:hAnsi="宋体" w:cs="宋体"/>
          <w:b/>
          <w:sz w:val="24"/>
          <w:szCs w:val="24"/>
        </w:rPr>
        <w:fldChar w:fldCharType="begin"/>
      </w:r>
      <w:r w:rsidRPr="001E621F" w:rsidR="001E621F">
        <w:rPr>
          <w:rFonts w:ascii="宋体" w:eastAsia="宋体" w:hAnsi="宋体" w:cs="宋体"/>
          <w:b/>
          <w:sz w:val="24"/>
          <w:szCs w:val="24"/>
        </w:rPr>
        <w:instrText>TOC \o "1-3" \h \z \u</w:instrText>
      </w:r>
      <w:r w:rsidRPr="001E621F" w:rsidR="001E621F">
        <w:rPr>
          <w:rFonts w:ascii="宋体" w:eastAsia="宋体" w:hAnsi="宋体" w:cs="宋体"/>
          <w:b/>
          <w:sz w:val="24"/>
          <w:szCs w:val="24"/>
        </w:rPr>
        <w:fldChar w:fldCharType="separate"/>
      </w:r>
      <w:hyperlink w:anchor="_Toc256000000" w:history="1">
        <w:r>
          <w:rPr>
            <w:rStyle w:val="Hyperlink"/>
            <w:rFonts w:ascii="Times New Roman" w:hAnsi="Times New Roman"/>
            <w:b/>
            <w:noProof/>
            <w:kern w:val="0"/>
          </w:rPr>
          <w:t xml:space="preserve">§1 </w:t>
        </w:r>
        <w:r>
          <w:rPr>
            <w:rStyle w:val="Hyperlink"/>
            <w:rFonts w:ascii="Times New Roman" w:hAnsi="Times New Roman"/>
            <w:b/>
            <w:noProof/>
            <w:kern w:val="0"/>
          </w:rPr>
          <w:t>重要提示</w:t>
        </w:r>
        <w:r>
          <w:tab/>
        </w:r>
        <w:r>
          <w:fldChar w:fldCharType="begin"/>
        </w:r>
        <w:r>
          <w:instrText xml:space="preserve"> PAGEREF _Toc256000000 \h </w:instrText>
        </w:r>
        <w:r>
          <w:fldChar w:fldCharType="separate"/>
        </w:r>
        <w:r>
          <w:t>3</w:t>
        </w:r>
        <w:r>
          <w:fldChar w:fldCharType="end"/>
        </w:r>
      </w:hyperlink>
    </w:p>
    <w:p>
      <w:pPr>
        <w:pStyle w:val="TOC1"/>
        <w:tabs>
          <w:tab w:val="right" w:leader="dot" w:pos="9080"/>
        </w:tabs>
        <w:rPr>
          <w:rFonts w:asciiTheme="minorHAnsi" w:hAnsiTheme="minorHAnsi"/>
          <w:noProof/>
          <w:sz w:val="22"/>
        </w:rPr>
      </w:pPr>
      <w:hyperlink w:anchor="_Toc256000001" w:history="1">
        <w:r>
          <w:rPr>
            <w:rStyle w:val="Hyperlink"/>
            <w:rFonts w:ascii="Times New Roman" w:hAnsi="Times New Roman"/>
            <w:b/>
            <w:noProof/>
            <w:kern w:val="0"/>
          </w:rPr>
          <w:t xml:space="preserve">§2  </w:t>
        </w:r>
        <w:r>
          <w:rPr>
            <w:rStyle w:val="Hyperlink"/>
            <w:rFonts w:ascii="Times New Roman" w:hAnsi="Times New Roman"/>
            <w:b/>
            <w:noProof/>
            <w:kern w:val="0"/>
          </w:rPr>
          <w:t>资产管理计划概况</w:t>
        </w:r>
        <w:r>
          <w:tab/>
        </w:r>
        <w:r>
          <w:fldChar w:fldCharType="begin"/>
        </w:r>
        <w:r>
          <w:instrText xml:space="preserve"> PAGEREF _Toc256000001 \h </w:instrText>
        </w:r>
        <w:r>
          <w:fldChar w:fldCharType="separate"/>
        </w:r>
        <w:r>
          <w:t>3</w:t>
        </w:r>
        <w:r>
          <w:fldChar w:fldCharType="end"/>
        </w:r>
      </w:hyperlink>
    </w:p>
    <w:p>
      <w:pPr>
        <w:pStyle w:val="TOC1"/>
        <w:tabs>
          <w:tab w:val="right" w:leader="dot" w:pos="9080"/>
        </w:tabs>
        <w:rPr>
          <w:rFonts w:asciiTheme="minorHAnsi" w:hAnsiTheme="minorHAnsi"/>
          <w:noProof/>
          <w:sz w:val="22"/>
        </w:rPr>
      </w:pPr>
      <w:hyperlink w:anchor="_Toc256000002" w:history="1">
        <w:r>
          <w:rPr>
            <w:rStyle w:val="Hyperlink"/>
            <w:rFonts w:ascii="Times New Roman" w:hAnsi="Times New Roman"/>
            <w:b/>
            <w:noProof/>
            <w:kern w:val="0"/>
          </w:rPr>
          <w:t xml:space="preserve">§3  </w:t>
        </w:r>
        <w:r>
          <w:rPr>
            <w:rStyle w:val="Hyperlink"/>
            <w:rFonts w:ascii="Times New Roman" w:hAnsi="Times New Roman"/>
            <w:b/>
            <w:noProof/>
            <w:kern w:val="0"/>
          </w:rPr>
          <w:t>主要财务指标和资产管理计划净值表现</w:t>
        </w:r>
        <w:r>
          <w:tab/>
        </w:r>
        <w:r>
          <w:fldChar w:fldCharType="begin"/>
        </w:r>
        <w:r>
          <w:instrText xml:space="preserve"> PAGEREF _Toc256000002 \h </w:instrText>
        </w:r>
        <w:r>
          <w:fldChar w:fldCharType="separate"/>
        </w:r>
        <w:r>
          <w:t>3</w:t>
        </w:r>
        <w:r>
          <w:fldChar w:fldCharType="end"/>
        </w:r>
      </w:hyperlink>
    </w:p>
    <w:p>
      <w:pPr>
        <w:pStyle w:val="TOC2"/>
        <w:tabs>
          <w:tab w:val="right" w:leader="dot" w:pos="9080"/>
        </w:tabs>
        <w:rPr>
          <w:rFonts w:asciiTheme="minorHAnsi" w:hAnsiTheme="minorHAnsi"/>
          <w:noProof/>
          <w:sz w:val="22"/>
        </w:rPr>
      </w:pPr>
      <w:hyperlink w:anchor="_Toc256000003" w:history="1">
        <w:r w:rsidR="001E621F">
          <w:rPr>
            <w:rStyle w:val="Hyperlink"/>
            <w:rFonts w:ascii="Times New Roman" w:hAnsi="Times New Roman"/>
            <w:b/>
            <w:noProof/>
            <w:kern w:val="0"/>
          </w:rPr>
          <w:t>3.1 主要财务指标</w:t>
        </w:r>
        <w:r>
          <w:tab/>
        </w:r>
        <w:r>
          <w:fldChar w:fldCharType="begin"/>
        </w:r>
        <w:r>
          <w:instrText xml:space="preserve"> PAGEREF _Toc256000003 \h </w:instrText>
        </w:r>
        <w:r>
          <w:fldChar w:fldCharType="separate"/>
        </w:r>
        <w:r>
          <w:t>3</w:t>
        </w:r>
        <w:r>
          <w:fldChar w:fldCharType="end"/>
        </w:r>
      </w:hyperlink>
    </w:p>
    <w:p>
      <w:pPr>
        <w:pStyle w:val="TOC2"/>
        <w:tabs>
          <w:tab w:val="right" w:leader="dot" w:pos="9080"/>
        </w:tabs>
        <w:rPr>
          <w:rFonts w:asciiTheme="minorHAnsi" w:hAnsiTheme="minorHAnsi"/>
          <w:noProof/>
          <w:sz w:val="22"/>
        </w:rPr>
      </w:pPr>
      <w:hyperlink w:anchor="_Toc256000004" w:history="1">
        <w:r w:rsidR="001E621F">
          <w:rPr>
            <w:rStyle w:val="Hyperlink"/>
            <w:rFonts w:ascii="Times New Roman" w:hAnsi="Times New Roman"/>
            <w:b/>
            <w:noProof/>
            <w:kern w:val="0"/>
          </w:rPr>
          <w:t>3.2 资产管理计划净值表现</w:t>
        </w:r>
        <w:r>
          <w:tab/>
        </w:r>
        <w:r>
          <w:fldChar w:fldCharType="begin"/>
        </w:r>
        <w:r>
          <w:instrText xml:space="preserve"> PAGEREF _Toc256000004 \h </w:instrText>
        </w:r>
        <w:r>
          <w:fldChar w:fldCharType="separate"/>
        </w:r>
        <w:r>
          <w:t>4</w:t>
        </w:r>
        <w:r>
          <w:fldChar w:fldCharType="end"/>
        </w:r>
      </w:hyperlink>
    </w:p>
    <w:p>
      <w:pPr>
        <w:pStyle w:val="TOC1"/>
        <w:tabs>
          <w:tab w:val="right" w:leader="dot" w:pos="9080"/>
        </w:tabs>
        <w:rPr>
          <w:rFonts w:asciiTheme="minorHAnsi" w:hAnsiTheme="minorHAnsi"/>
          <w:noProof/>
          <w:sz w:val="22"/>
        </w:rPr>
      </w:pPr>
      <w:hyperlink w:anchor="_Toc256000005" w:history="1">
        <w:r>
          <w:rPr>
            <w:rStyle w:val="Hyperlink"/>
            <w:rFonts w:ascii="Times New Roman" w:hAnsi="Times New Roman"/>
            <w:b/>
            <w:noProof/>
            <w:kern w:val="0"/>
          </w:rPr>
          <w:t xml:space="preserve">§4  </w:t>
        </w:r>
        <w:r>
          <w:rPr>
            <w:rStyle w:val="Hyperlink"/>
            <w:rFonts w:ascii="Times New Roman" w:hAnsi="Times New Roman"/>
            <w:b/>
            <w:noProof/>
            <w:kern w:val="0"/>
          </w:rPr>
          <w:t>管理人报告</w:t>
        </w:r>
        <w:r>
          <w:tab/>
        </w:r>
        <w:r>
          <w:fldChar w:fldCharType="begin"/>
        </w:r>
        <w:r>
          <w:instrText xml:space="preserve"> PAGEREF _Toc256000005 \h </w:instrText>
        </w:r>
        <w:r>
          <w:fldChar w:fldCharType="separate"/>
        </w:r>
        <w:r>
          <w:t>4</w:t>
        </w:r>
        <w:r>
          <w:fldChar w:fldCharType="end"/>
        </w:r>
      </w:hyperlink>
    </w:p>
    <w:p>
      <w:pPr>
        <w:pStyle w:val="TOC2"/>
        <w:tabs>
          <w:tab w:val="right" w:leader="dot" w:pos="9080"/>
        </w:tabs>
        <w:rPr>
          <w:rFonts w:asciiTheme="minorHAnsi" w:hAnsiTheme="minorHAnsi"/>
          <w:noProof/>
          <w:sz w:val="22"/>
        </w:rPr>
      </w:pPr>
      <w:hyperlink w:anchor="_Toc256000006" w:history="1">
        <w:r w:rsidR="001E621F">
          <w:rPr>
            <w:rStyle w:val="Hyperlink"/>
            <w:rFonts w:ascii="Times New Roman" w:hAnsi="Times New Roman"/>
            <w:b/>
            <w:noProof/>
            <w:kern w:val="0"/>
          </w:rPr>
          <w:t>4.1 投资经理</w:t>
        </w:r>
        <w:r w:rsidR="001E621F">
          <w:rPr>
            <w:rStyle w:val="Hyperlink"/>
            <w:rFonts w:ascii="Times New Roman" w:hAnsi="Times New Roman"/>
            <w:b/>
            <w:noProof/>
            <w:kern w:val="0"/>
          </w:rPr>
          <w:t>（或投资经理小组）简介</w:t>
        </w:r>
        <w:r>
          <w:tab/>
        </w:r>
        <w:r>
          <w:fldChar w:fldCharType="begin"/>
        </w:r>
        <w:r>
          <w:instrText xml:space="preserve"> PAGEREF _Toc256000006 \h </w:instrText>
        </w:r>
        <w:r>
          <w:fldChar w:fldCharType="separate"/>
        </w:r>
        <w:r>
          <w:t>4</w:t>
        </w:r>
        <w:r>
          <w:fldChar w:fldCharType="end"/>
        </w:r>
      </w:hyperlink>
    </w:p>
    <w:p>
      <w:pPr>
        <w:pStyle w:val="TOC2"/>
        <w:tabs>
          <w:tab w:val="right" w:leader="dot" w:pos="9080"/>
        </w:tabs>
        <w:rPr>
          <w:rFonts w:asciiTheme="minorHAnsi" w:hAnsiTheme="minorHAnsi"/>
          <w:noProof/>
          <w:sz w:val="22"/>
        </w:rPr>
      </w:pPr>
      <w:hyperlink w:anchor="_Toc256000007" w:history="1">
        <w:r w:rsidR="001E621F">
          <w:rPr>
            <w:rStyle w:val="Hyperlink"/>
            <w:rFonts w:ascii="Times New Roman" w:hAnsi="Times New Roman"/>
            <w:b/>
            <w:noProof/>
            <w:kern w:val="0"/>
          </w:rPr>
          <w:t>4.2 公平交易</w:t>
        </w:r>
        <w:r w:rsidR="001E621F">
          <w:rPr>
            <w:rStyle w:val="Hyperlink"/>
            <w:rFonts w:ascii="Times New Roman" w:hAnsi="Times New Roman"/>
            <w:b/>
            <w:noProof/>
            <w:kern w:val="0"/>
          </w:rPr>
          <w:t>、异常交易的专项说明</w:t>
        </w:r>
        <w:r>
          <w:tab/>
        </w:r>
        <w:r>
          <w:fldChar w:fldCharType="begin"/>
        </w:r>
        <w:r>
          <w:instrText xml:space="preserve"> PAGEREF _Toc256000007 \h </w:instrText>
        </w:r>
        <w:r>
          <w:fldChar w:fldCharType="separate"/>
        </w:r>
        <w:r>
          <w:t>4</w:t>
        </w:r>
        <w:r>
          <w:fldChar w:fldCharType="end"/>
        </w:r>
      </w:hyperlink>
    </w:p>
    <w:p>
      <w:pPr>
        <w:pStyle w:val="TOC1"/>
        <w:tabs>
          <w:tab w:val="right" w:leader="dot" w:pos="9080"/>
        </w:tabs>
        <w:rPr>
          <w:rFonts w:asciiTheme="minorHAnsi" w:hAnsiTheme="minorHAnsi"/>
          <w:noProof/>
          <w:sz w:val="22"/>
        </w:rPr>
      </w:pPr>
      <w:hyperlink w:anchor="_Toc256000008" w:history="1">
        <w:r>
          <w:rPr>
            <w:rStyle w:val="Hyperlink"/>
            <w:rFonts w:ascii="Times New Roman" w:hAnsi="Times New Roman"/>
            <w:b/>
            <w:noProof/>
            <w:kern w:val="0"/>
          </w:rPr>
          <w:t xml:space="preserve">§5 </w:t>
        </w:r>
        <w:r>
          <w:rPr>
            <w:rStyle w:val="Hyperlink"/>
            <w:rFonts w:ascii="Times New Roman" w:hAnsi="Times New Roman"/>
            <w:b/>
            <w:noProof/>
            <w:kern w:val="0"/>
          </w:rPr>
          <w:t>投资组合报告</w:t>
        </w:r>
        <w:r>
          <w:tab/>
        </w:r>
        <w:r>
          <w:fldChar w:fldCharType="begin"/>
        </w:r>
        <w:r>
          <w:instrText xml:space="preserve"> PAGEREF _Toc256000008 \h </w:instrText>
        </w:r>
        <w:r>
          <w:fldChar w:fldCharType="separate"/>
        </w:r>
        <w:r>
          <w:t>6</w:t>
        </w:r>
        <w:r>
          <w:fldChar w:fldCharType="end"/>
        </w:r>
      </w:hyperlink>
    </w:p>
    <w:p>
      <w:pPr>
        <w:pStyle w:val="TOC2"/>
        <w:tabs>
          <w:tab w:val="right" w:leader="dot" w:pos="9080"/>
        </w:tabs>
        <w:rPr>
          <w:rFonts w:asciiTheme="minorHAnsi" w:hAnsiTheme="minorHAnsi"/>
          <w:noProof/>
          <w:sz w:val="22"/>
        </w:rPr>
      </w:pPr>
      <w:hyperlink w:anchor="_Toc256000009" w:history="1">
        <w:r w:rsidR="001E621F">
          <w:rPr>
            <w:rStyle w:val="Hyperlink"/>
            <w:rFonts w:ascii="Times New Roman" w:hAnsi="Times New Roman"/>
            <w:b/>
            <w:noProof/>
            <w:kern w:val="0"/>
          </w:rPr>
          <w:t>5.1 报告期末资产组合情况</w:t>
        </w:r>
        <w:r>
          <w:tab/>
        </w:r>
        <w:r>
          <w:fldChar w:fldCharType="begin"/>
        </w:r>
        <w:r>
          <w:instrText xml:space="preserve"> PAGEREF _Toc256000009 \h </w:instrText>
        </w:r>
        <w:r>
          <w:fldChar w:fldCharType="separate"/>
        </w:r>
        <w:r>
          <w:t>6</w:t>
        </w:r>
        <w:r>
          <w:fldChar w:fldCharType="end"/>
        </w:r>
      </w:hyperlink>
    </w:p>
    <w:p>
      <w:pPr>
        <w:pStyle w:val="TOC2"/>
        <w:tabs>
          <w:tab w:val="right" w:leader="dot" w:pos="9080"/>
        </w:tabs>
        <w:rPr>
          <w:rFonts w:asciiTheme="minorHAnsi" w:hAnsiTheme="minorHAnsi"/>
          <w:noProof/>
          <w:sz w:val="22"/>
        </w:rPr>
      </w:pPr>
      <w:hyperlink w:anchor="_Toc256000010" w:history="1">
        <w:r w:rsidR="001E621F">
          <w:rPr>
            <w:rStyle w:val="Hyperlink"/>
            <w:rFonts w:ascii="Times New Roman" w:hAnsi="Times New Roman"/>
            <w:b/>
            <w:noProof/>
            <w:kern w:val="0"/>
          </w:rPr>
          <w:t>5.2 报告期末按公允价值占资产净值比例大小排名的前十名股票投资明细</w:t>
        </w:r>
        <w:r>
          <w:tab/>
        </w:r>
        <w:r>
          <w:fldChar w:fldCharType="begin"/>
        </w:r>
        <w:r>
          <w:instrText xml:space="preserve"> PAGEREF _Toc256000010 \h </w:instrText>
        </w:r>
        <w:r>
          <w:fldChar w:fldCharType="separate"/>
        </w:r>
        <w:r>
          <w:t>6</w:t>
        </w:r>
        <w:r>
          <w:fldChar w:fldCharType="end"/>
        </w:r>
      </w:hyperlink>
    </w:p>
    <w:p>
      <w:pPr>
        <w:pStyle w:val="TOC2"/>
        <w:tabs>
          <w:tab w:val="right" w:leader="dot" w:pos="9080"/>
        </w:tabs>
        <w:rPr>
          <w:rFonts w:asciiTheme="minorHAnsi" w:hAnsiTheme="minorHAnsi"/>
          <w:noProof/>
          <w:sz w:val="22"/>
        </w:rPr>
      </w:pPr>
      <w:hyperlink w:anchor="_Toc256000011" w:history="1">
        <w:r w:rsidR="001E621F">
          <w:rPr>
            <w:rStyle w:val="Hyperlink"/>
            <w:rFonts w:ascii="Times New Roman" w:hAnsi="Times New Roman"/>
            <w:b/>
            <w:noProof/>
            <w:kern w:val="0"/>
          </w:rPr>
          <w:t>5.3 报告期末按公允价值占资产净值比例大小排名的前五名债券投资明细</w:t>
        </w:r>
        <w:r>
          <w:tab/>
        </w:r>
        <w:r>
          <w:fldChar w:fldCharType="begin"/>
        </w:r>
        <w:r>
          <w:instrText xml:space="preserve"> PAGEREF _Toc256000011 \h </w:instrText>
        </w:r>
        <w:r>
          <w:fldChar w:fldCharType="separate"/>
        </w:r>
        <w:r>
          <w:t>7</w:t>
        </w:r>
        <w:r>
          <w:fldChar w:fldCharType="end"/>
        </w:r>
      </w:hyperlink>
    </w:p>
    <w:p>
      <w:pPr>
        <w:pStyle w:val="TOC2"/>
        <w:tabs>
          <w:tab w:val="right" w:leader="dot" w:pos="9080"/>
        </w:tabs>
        <w:rPr>
          <w:rFonts w:asciiTheme="minorHAnsi" w:hAnsiTheme="minorHAnsi"/>
          <w:noProof/>
          <w:sz w:val="22"/>
        </w:rPr>
      </w:pPr>
      <w:hyperlink w:anchor="_Toc256000012" w:history="1">
        <w:r w:rsidR="001E621F">
          <w:rPr>
            <w:rStyle w:val="Hyperlink"/>
            <w:rFonts w:ascii="Times New Roman" w:hAnsi="Times New Roman"/>
            <w:b/>
            <w:noProof/>
            <w:kern w:val="0"/>
          </w:rPr>
          <w:t>5.4 报告期末按合约市值大小排名的前五名期货投资明细</w:t>
        </w:r>
        <w:r>
          <w:tab/>
        </w:r>
        <w:r>
          <w:fldChar w:fldCharType="begin"/>
        </w:r>
        <w:r>
          <w:instrText xml:space="preserve"> PAGEREF _Toc256000012 \h </w:instrText>
        </w:r>
        <w:r>
          <w:fldChar w:fldCharType="separate"/>
        </w:r>
        <w:r>
          <w:t>7</w:t>
        </w:r>
        <w:r>
          <w:fldChar w:fldCharType="end"/>
        </w:r>
      </w:hyperlink>
    </w:p>
    <w:p>
      <w:pPr>
        <w:pStyle w:val="TOC2"/>
        <w:tabs>
          <w:tab w:val="right" w:leader="dot" w:pos="9080"/>
        </w:tabs>
        <w:rPr>
          <w:rFonts w:asciiTheme="minorHAnsi" w:hAnsiTheme="minorHAnsi"/>
          <w:noProof/>
          <w:sz w:val="22"/>
        </w:rPr>
      </w:pPr>
      <w:hyperlink w:anchor="_Toc256000013" w:history="1">
        <w:r w:rsidR="001E621F">
          <w:rPr>
            <w:rStyle w:val="Hyperlink"/>
            <w:rFonts w:ascii="Times New Roman" w:hAnsi="Times New Roman"/>
            <w:b/>
            <w:noProof/>
            <w:kern w:val="0"/>
          </w:rPr>
          <w:t>5.5  报告期末按公允价值占资产净值比例大小排名的前五名基金投资明细</w:t>
        </w:r>
        <w:r>
          <w:tab/>
        </w:r>
        <w:r>
          <w:fldChar w:fldCharType="begin"/>
        </w:r>
        <w:r>
          <w:instrText xml:space="preserve"> PAGEREF _Toc256000013 \h </w:instrText>
        </w:r>
        <w:r>
          <w:fldChar w:fldCharType="separate"/>
        </w:r>
        <w:r>
          <w:t>7</w:t>
        </w:r>
        <w:r>
          <w:fldChar w:fldCharType="end"/>
        </w:r>
      </w:hyperlink>
    </w:p>
    <w:p>
      <w:pPr>
        <w:pStyle w:val="TOC1"/>
        <w:tabs>
          <w:tab w:val="right" w:leader="dot" w:pos="9080"/>
        </w:tabs>
        <w:rPr>
          <w:rFonts w:asciiTheme="minorHAnsi" w:hAnsiTheme="minorHAnsi"/>
          <w:noProof/>
          <w:sz w:val="22"/>
        </w:rPr>
      </w:pPr>
      <w:hyperlink w:anchor="_Toc256000014" w:history="1">
        <w:r>
          <w:rPr>
            <w:rStyle w:val="Hyperlink"/>
            <w:rFonts w:ascii="Times New Roman" w:hAnsi="Times New Roman"/>
            <w:b/>
            <w:noProof/>
            <w:kern w:val="0"/>
          </w:rPr>
          <w:t xml:space="preserve">§6 </w:t>
        </w:r>
        <w:r>
          <w:rPr>
            <w:rStyle w:val="Hyperlink"/>
            <w:rFonts w:ascii="Times New Roman" w:hAnsi="Times New Roman"/>
            <w:b/>
            <w:noProof/>
            <w:kern w:val="0"/>
          </w:rPr>
          <w:t>费用计提方法、计提标准和支付方式</w:t>
        </w:r>
        <w:r>
          <w:tab/>
        </w:r>
        <w:r>
          <w:fldChar w:fldCharType="begin"/>
        </w:r>
        <w:r>
          <w:instrText xml:space="preserve"> PAGEREF _Toc256000014 \h </w:instrText>
        </w:r>
        <w:r>
          <w:fldChar w:fldCharType="separate"/>
        </w:r>
        <w:r>
          <w:t>7</w:t>
        </w:r>
        <w:r>
          <w:fldChar w:fldCharType="end"/>
        </w:r>
      </w:hyperlink>
    </w:p>
    <w:p>
      <w:pPr>
        <w:pStyle w:val="TOC1"/>
        <w:tabs>
          <w:tab w:val="right" w:leader="dot" w:pos="9080"/>
        </w:tabs>
        <w:rPr>
          <w:rFonts w:asciiTheme="minorHAnsi" w:hAnsiTheme="minorHAnsi"/>
          <w:noProof/>
          <w:sz w:val="22"/>
        </w:rPr>
      </w:pPr>
      <w:hyperlink w:anchor="_Toc256000015" w:history="1">
        <w:r>
          <w:rPr>
            <w:rStyle w:val="Hyperlink"/>
            <w:rFonts w:ascii="Times New Roman" w:hAnsi="Times New Roman"/>
            <w:b/>
            <w:noProof/>
            <w:kern w:val="0"/>
          </w:rPr>
          <w:t xml:space="preserve">§7 </w:t>
        </w:r>
        <w:r>
          <w:rPr>
            <w:rStyle w:val="Hyperlink"/>
            <w:rFonts w:ascii="Times New Roman" w:hAnsi="Times New Roman"/>
            <w:b/>
            <w:noProof/>
            <w:kern w:val="0"/>
          </w:rPr>
          <w:t>其他重大事项</w:t>
        </w:r>
        <w:r>
          <w:tab/>
        </w:r>
        <w:r>
          <w:fldChar w:fldCharType="begin"/>
        </w:r>
        <w:r>
          <w:instrText xml:space="preserve"> PAGEREF _Toc256000015 \h </w:instrText>
        </w:r>
        <w:r>
          <w:fldChar w:fldCharType="separate"/>
        </w:r>
        <w:r>
          <w:t>8</w:t>
        </w:r>
        <w:r>
          <w:fldChar w:fldCharType="end"/>
        </w:r>
      </w:hyperlink>
    </w:p>
    <w:p w:rsidR="001E621F" w:rsidRPr="001E621F">
      <w:pPr>
        <w:jc w:val="left"/>
        <w:rPr>
          <w:rFonts w:ascii="宋体" w:eastAsia="宋体" w:hAnsi="宋体" w:cs="宋体"/>
          <w:b/>
          <w:sz w:val="24"/>
          <w:szCs w:val="24"/>
        </w:rPr>
      </w:pPr>
      <w:r w:rsidRPr="001E621F">
        <w:rPr>
          <w:rFonts w:ascii="宋体" w:eastAsia="宋体" w:hAnsi="宋体" w:cs="宋体"/>
          <w:b/>
          <w:sz w:val="24"/>
          <w:szCs w:val="24"/>
        </w:rPr>
        <w:fldChar w:fldCharType="end"/>
      </w:r>
      <w:r>
        <w:rPr>
          <w:rFonts w:ascii="宋体" w:hAnsi="宋体"/>
          <w:sz w:val="24"/>
          <w:szCs w:val="24"/>
        </w:rPr>
        <w:br w:type="page"/>
      </w:r>
    </w:p>
    <w:p w:rsidR="001E621F" w:rsidRPr="001E621F" w:rsidP="00C32C5C" w14:paraId="3CCFDBB3" w14:textId="0C7B063A">
      <w:pPr>
        <w:autoSpaceDE w:val="0"/>
        <w:autoSpaceDN w:val="0"/>
        <w:adjustRightInd w:val="0"/>
        <w:spacing w:before="30" w:line="288" w:lineRule="auto"/>
        <w:jc w:val="center"/>
        <w:outlineLvl w:val="0"/>
        <w:rPr>
          <w:rFonts w:ascii="Times New Roman" w:hAnsi="Times New Roman"/>
          <w:b/>
          <w:color w:val="000000"/>
          <w:kern w:val="0"/>
          <w:sz w:val="24"/>
          <w:szCs w:val="24"/>
        </w:rPr>
      </w:pPr>
      <w:bookmarkStart w:id="0" w:name="_Toc256000000"/>
      <w:r>
        <w:rPr>
          <w:rFonts w:ascii="Times New Roman" w:hAnsi="Times New Roman"/>
          <w:b/>
          <w:noProof/>
          <w:color w:val="000000"/>
          <w:kern w:val="0"/>
          <w:sz w:val="24"/>
          <w:szCs w:val="24"/>
        </w:rPr>
        <w:t xml:space="preserve">§1 </w:t>
      </w:r>
      <w:r>
        <w:rPr>
          <w:rFonts w:ascii="Times New Roman" w:hAnsi="Times New Roman"/>
          <w:b/>
          <w:noProof/>
          <w:color w:val="000000"/>
          <w:kern w:val="0"/>
          <w:sz w:val="24"/>
          <w:szCs w:val="24"/>
        </w:rPr>
        <w:t>重要提示</w:t>
      </w:r>
      <w:bookmarkEnd w:id="0"/>
    </w:p>
    <w:p w14:paraId="0D2C24A5" w14:textId="77777777">
      <w:pPr>
        <w:pStyle w:val="div"/>
        <w:pBdr>
          <w:top w:val="none" w:sz="0" w:space="0" w:color="auto"/>
          <w:left w:val="none" w:sz="0" w:space="0" w:color="auto"/>
          <w:bottom w:val="none" w:sz="0" w:space="0" w:color="auto"/>
          <w:right w:val="none" w:sz="0" w:space="0" w:color="auto"/>
        </w:pBdr>
        <w:spacing w:before="0" w:after="0" w:line="360" w:lineRule="auto"/>
        <w:ind w:left="0" w:right="0" w:firstLine="420"/>
        <w:rPr>
          <w:rFonts w:ascii="SimSun" w:eastAsia="SimSun" w:hAnsi="SimSun" w:cs="SimSun"/>
          <w:kern w:val="0"/>
          <w:sz w:val="24"/>
          <w:szCs w:val="24"/>
        </w:rPr>
      </w:pPr>
      <w:r>
        <w:rPr>
          <w:rFonts w:ascii="SimSun" w:eastAsia="SimSun" w:hAnsi="SimSun" w:cs="SimSun"/>
          <w:kern w:val="0"/>
          <w:sz w:val="24"/>
          <w:szCs w:val="24"/>
        </w:rPr>
        <w:t>本资产托管人根据本资产管理合同规定，已对本报告中的主要财务指标和资产管理计划净值表现、投资组合报告等内容进行复核，认为复核内容不存在虚假记载、误导性陈述或者重大遗漏。</w:t>
      </w:r>
    </w:p>
    <w:p>
      <w:pPr>
        <w:pStyle w:val="div"/>
        <w:pBdr>
          <w:top w:val="none" w:sz="0" w:space="0" w:color="auto"/>
          <w:left w:val="none" w:sz="0" w:space="0" w:color="auto"/>
          <w:bottom w:val="none" w:sz="0" w:space="0" w:color="auto"/>
          <w:right w:val="none" w:sz="0" w:space="0" w:color="auto"/>
        </w:pBdr>
        <w:spacing w:before="0" w:after="0" w:line="360" w:lineRule="auto"/>
        <w:ind w:left="0" w:right="0" w:firstLine="420"/>
        <w:jc w:val="left"/>
        <w:rPr>
          <w:rFonts w:ascii="SimSun" w:eastAsia="SimSun" w:hAnsi="SimSun" w:cs="SimSun"/>
          <w:kern w:val="0"/>
          <w:sz w:val="24"/>
          <w:szCs w:val="24"/>
        </w:rPr>
      </w:pPr>
      <w:r>
        <w:rPr>
          <w:rFonts w:ascii="SimSun" w:eastAsia="SimSun" w:hAnsi="SimSun" w:cs="SimSun"/>
          <w:kern w:val="0"/>
          <w:sz w:val="24"/>
          <w:szCs w:val="24"/>
        </w:rPr>
        <w:t>本资产管理人承诺以诚实信用、勤勉尽责的原则管理和运用资产，但不保证资产一定盈利。</w:t>
      </w:r>
    </w:p>
    <w:p>
      <w:pPr>
        <w:pStyle w:val="div"/>
        <w:pBdr>
          <w:top w:val="none" w:sz="0" w:space="0" w:color="auto"/>
          <w:left w:val="none" w:sz="0" w:space="0" w:color="auto"/>
          <w:bottom w:val="none" w:sz="0" w:space="0" w:color="auto"/>
          <w:right w:val="none" w:sz="0" w:space="0" w:color="auto"/>
        </w:pBdr>
        <w:spacing w:before="0" w:after="0" w:line="360" w:lineRule="auto"/>
        <w:ind w:left="0" w:right="0" w:firstLine="420"/>
        <w:jc w:val="left"/>
        <w:rPr>
          <w:rFonts w:ascii="SimSun" w:eastAsia="SimSun" w:hAnsi="SimSun" w:cs="SimSun"/>
          <w:kern w:val="0"/>
          <w:sz w:val="24"/>
          <w:szCs w:val="24"/>
        </w:rPr>
      </w:pPr>
      <w:r>
        <w:rPr>
          <w:rFonts w:ascii="SimSun" w:eastAsia="SimSun" w:hAnsi="SimSun" w:cs="SimSun"/>
          <w:kern w:val="0"/>
          <w:sz w:val="24"/>
          <w:szCs w:val="24"/>
        </w:rPr>
        <w:t>资产的过往业绩并不代表其未来表现，投资有风险，投资者在作出投资决策前应仔细阅读本资产管理合同。</w:t>
      </w:r>
    </w:p>
    <w:p>
      <w:pPr>
        <w:pStyle w:val="div"/>
        <w:pBdr>
          <w:top w:val="none" w:sz="0" w:space="0" w:color="auto"/>
          <w:left w:val="none" w:sz="0" w:space="0" w:color="auto"/>
          <w:bottom w:val="none" w:sz="0" w:space="0" w:color="auto"/>
          <w:right w:val="none" w:sz="0" w:space="0" w:color="auto"/>
        </w:pBdr>
        <w:spacing w:before="0" w:after="0" w:line="360" w:lineRule="auto"/>
        <w:ind w:left="0" w:right="0" w:firstLine="420"/>
        <w:jc w:val="left"/>
        <w:rPr>
          <w:rFonts w:ascii="SimSun" w:eastAsia="SimSun" w:hAnsi="SimSun" w:cs="SimSun"/>
          <w:kern w:val="0"/>
          <w:sz w:val="24"/>
          <w:szCs w:val="24"/>
        </w:rPr>
      </w:pPr>
      <w:r>
        <w:rPr>
          <w:rFonts w:ascii="SimSun" w:eastAsia="SimSun" w:hAnsi="SimSun" w:cs="SimSun"/>
          <w:kern w:val="0"/>
          <w:sz w:val="24"/>
          <w:szCs w:val="24"/>
        </w:rPr>
        <w:t>本报告中财务资料未经审计。</w:t>
      </w:r>
    </w:p>
    <w:p>
      <w:pPr>
        <w:pStyle w:val="div"/>
        <w:pBdr>
          <w:top w:val="none" w:sz="0" w:space="0" w:color="auto"/>
          <w:left w:val="none" w:sz="0" w:space="0" w:color="auto"/>
          <w:bottom w:val="none" w:sz="0" w:space="0" w:color="auto"/>
          <w:right w:val="none" w:sz="0" w:space="0" w:color="auto"/>
        </w:pBdr>
        <w:spacing w:before="0" w:after="0" w:line="360" w:lineRule="auto"/>
        <w:ind w:left="0" w:right="0" w:firstLine="420"/>
        <w:jc w:val="left"/>
        <w:rPr>
          <w:rStyle w:val="divCharacter"/>
          <w:rFonts w:ascii="SimSun" w:eastAsia="SimSun" w:hAnsi="SimSun" w:cs="SimSun"/>
          <w:kern w:val="0"/>
          <w:sz w:val="24"/>
          <w:szCs w:val="24"/>
        </w:rPr>
      </w:pPr>
      <w:r>
        <w:rPr>
          <w:rStyle w:val="divCharacter"/>
          <w:rFonts w:ascii="SimSun" w:eastAsia="SimSun" w:hAnsi="SimSun" w:cs="SimSun"/>
          <w:kern w:val="0"/>
          <w:sz w:val="24"/>
          <w:szCs w:val="24"/>
        </w:rPr>
        <w:t>本报告期自2023年10月01日起至12月31日。</w:t>
      </w:r>
    </w:p>
    <w:p w:rsidR="001E621F" w:rsidP="00AB1E37">
      <w:pPr>
        <w:autoSpaceDE w:val="0"/>
        <w:autoSpaceDN w:val="0"/>
        <w:adjustRightInd w:val="0"/>
        <w:spacing w:before="30" w:line="288" w:lineRule="auto"/>
        <w:ind w:left="15" w:firstLine="482"/>
        <w:jc w:val="left"/>
        <w:rPr>
          <w:rFonts w:ascii="宋体"/>
          <w:color w:val="000000"/>
          <w:kern w:val="0"/>
          <w:sz w:val="24"/>
          <w:szCs w:val="24"/>
        </w:rPr>
      </w:pPr>
    </w:p>
    <w:p w:rsidR="001E621F" w:rsidRPr="001E621F" w:rsidP="00C32C5C" w14:textId="0C7B063A">
      <w:pPr>
        <w:autoSpaceDE w:val="0"/>
        <w:autoSpaceDN w:val="0"/>
        <w:adjustRightInd w:val="0"/>
        <w:spacing w:before="30" w:line="288" w:lineRule="auto"/>
        <w:jc w:val="center"/>
        <w:outlineLvl w:val="0"/>
        <w:rPr>
          <w:rFonts w:ascii="Times New Roman" w:hAnsi="Times New Roman"/>
          <w:b/>
          <w:color w:val="000000"/>
          <w:kern w:val="0"/>
          <w:sz w:val="24"/>
          <w:szCs w:val="24"/>
        </w:rPr>
      </w:pPr>
      <w:bookmarkStart w:id="1" w:name="_Toc256000001"/>
      <w:r>
        <w:rPr>
          <w:rFonts w:ascii="Times New Roman" w:hAnsi="Times New Roman"/>
          <w:b/>
          <w:noProof/>
          <w:color w:val="000000"/>
          <w:kern w:val="0"/>
          <w:sz w:val="24"/>
          <w:szCs w:val="24"/>
        </w:rPr>
        <w:t xml:space="preserve">§2  </w:t>
      </w:r>
      <w:r>
        <w:rPr>
          <w:rFonts w:ascii="Times New Roman" w:hAnsi="Times New Roman"/>
          <w:b/>
          <w:noProof/>
          <w:color w:val="000000"/>
          <w:kern w:val="0"/>
          <w:sz w:val="24"/>
          <w:szCs w:val="24"/>
        </w:rPr>
        <w:t>资产管理计划概况</w:t>
      </w:r>
      <w:bookmarkEnd w:id="1"/>
    </w:p>
    <w:p w14:textId="77777777">
      <w:pPr>
        <w:pStyle w:val="p"/>
        <w:widowControl/>
        <w:spacing w:before="0" w:after="0"/>
        <w:ind w:left="0" w:right="0"/>
        <w:jc w:val="center"/>
        <w:rPr>
          <w:rFonts w:ascii="Times New Roman" w:eastAsia="Times New Roman" w:hAnsi="Times New Roman" w:cs="Times New Roman"/>
          <w:kern w:val="0"/>
          <w:sz w:val="24"/>
          <w:szCs w:val="24"/>
        </w:rPr>
      </w:pPr>
    </w:p>
    <w:tbl>
      <w:tblPr>
        <w:tblStyle w:val="table"/>
        <w:tblW w:w="5000" w:type="pct"/>
        <w:jc w:val="center"/>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Look w:val="05E0"/>
      </w:tblPr>
      <w:tblGrid>
        <w:gridCol w:w="3055"/>
        <w:gridCol w:w="5995"/>
      </w:tblGrid>
      <w:tr>
        <w:tblPrEx>
          <w:tblW w:w="5000" w:type="pct"/>
          <w:jc w:val="center"/>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Look w:val="05E0"/>
        </w:tblPrEx>
        <w:trPr>
          <w:jc w:val="center"/>
        </w:trPr>
        <w:tc>
          <w:tcPr>
            <w:tcW w:w="3251"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名称</w:t>
            </w:r>
          </w:p>
        </w:tc>
        <w:tc>
          <w:tcPr>
            <w:tcW w:w="5779"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SimSun" w:eastAsia="SimSun" w:hAnsi="SimSun" w:cs="SimSu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创金合信湖州银行1号单一资产管理计划</w:t>
            </w:r>
          </w:p>
        </w:tc>
      </w:tr>
      <w:tr>
        <w:tblPrEx>
          <w:tblW w:w="5000" w:type="pct"/>
          <w:jc w:val="center"/>
          <w:tblCellMar>
            <w:top w:w="0" w:type="dxa"/>
            <w:left w:w="0" w:type="dxa"/>
            <w:bottom w:w="0" w:type="dxa"/>
            <w:right w:w="0" w:type="dxa"/>
          </w:tblCellMar>
          <w:tblLook w:val="05E0"/>
        </w:tblPrEx>
        <w:trPr>
          <w:jc w:val="center"/>
        </w:trPr>
        <w:tc>
          <w:tcPr>
            <w:tcW w:w="3251"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简称</w:t>
            </w:r>
          </w:p>
        </w:tc>
        <w:tc>
          <w:tcPr>
            <w:tcW w:w="5779"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SimSun" w:eastAsia="SimSun" w:hAnsi="SimSun" w:cs="SimSu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创金合信湖州银行1号</w:t>
            </w:r>
          </w:p>
        </w:tc>
      </w:tr>
      <w:tr>
        <w:tblPrEx>
          <w:tblW w:w="5000" w:type="pct"/>
          <w:jc w:val="center"/>
          <w:tblCellMar>
            <w:top w:w="0" w:type="dxa"/>
            <w:left w:w="0" w:type="dxa"/>
            <w:bottom w:w="0" w:type="dxa"/>
            <w:right w:w="0" w:type="dxa"/>
          </w:tblCellMar>
          <w:tblLook w:val="05E0"/>
        </w:tblPrEx>
        <w:trPr>
          <w:jc w:val="center"/>
        </w:trPr>
        <w:tc>
          <w:tcPr>
            <w:tcW w:w="3251"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代码</w:t>
            </w:r>
          </w:p>
        </w:tc>
        <w:tc>
          <w:tcPr>
            <w:tcW w:w="5779"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SimSun" w:eastAsia="SimSun" w:hAnsi="SimSun" w:cs="SimSu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CJ0503</w:t>
            </w:r>
          </w:p>
        </w:tc>
      </w:tr>
      <w:tr>
        <w:tblPrEx>
          <w:tblW w:w="5000" w:type="pct"/>
          <w:jc w:val="center"/>
          <w:tblCellMar>
            <w:top w:w="0" w:type="dxa"/>
            <w:left w:w="0" w:type="dxa"/>
            <w:bottom w:w="0" w:type="dxa"/>
            <w:right w:w="0" w:type="dxa"/>
          </w:tblCellMar>
          <w:tblLook w:val="05E0"/>
        </w:tblPrEx>
        <w:trPr>
          <w:jc w:val="center"/>
        </w:trPr>
        <w:tc>
          <w:tcPr>
            <w:tcW w:w="3251"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存续年限</w:t>
            </w:r>
          </w:p>
        </w:tc>
        <w:tc>
          <w:tcPr>
            <w:tcW w:w="5779"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widowControl/>
              <w:ind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6年</w:t>
            </w:r>
          </w:p>
        </w:tc>
      </w:tr>
      <w:tr>
        <w:tblPrEx>
          <w:tblW w:w="5000" w:type="pct"/>
          <w:jc w:val="center"/>
          <w:tblCellMar>
            <w:top w:w="0" w:type="dxa"/>
            <w:left w:w="0" w:type="dxa"/>
            <w:bottom w:w="0" w:type="dxa"/>
            <w:right w:w="0" w:type="dxa"/>
          </w:tblCellMar>
          <w:tblLook w:val="05E0"/>
        </w:tblPrEx>
        <w:trPr>
          <w:jc w:val="center"/>
        </w:trPr>
        <w:tc>
          <w:tcPr>
            <w:tcW w:w="3251"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合同生效日</w:t>
            </w:r>
          </w:p>
        </w:tc>
        <w:tc>
          <w:tcPr>
            <w:tcW w:w="5779"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widowControl/>
              <w:ind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2020年01月08日</w:t>
            </w:r>
          </w:p>
        </w:tc>
      </w:tr>
      <w:tr>
        <w:tblPrEx>
          <w:tblW w:w="5000" w:type="pct"/>
          <w:jc w:val="center"/>
          <w:tblCellMar>
            <w:top w:w="0" w:type="dxa"/>
            <w:left w:w="0" w:type="dxa"/>
            <w:bottom w:w="0" w:type="dxa"/>
            <w:right w:w="0" w:type="dxa"/>
          </w:tblCellMar>
          <w:tblLook w:val="05E0"/>
        </w:tblPrEx>
        <w:trPr>
          <w:jc w:val="center"/>
        </w:trPr>
        <w:tc>
          <w:tcPr>
            <w:tcW w:w="3251"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报告期末计划份额</w:t>
            </w:r>
          </w:p>
        </w:tc>
        <w:tc>
          <w:tcPr>
            <w:tcW w:w="5779"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widowControl/>
              <w:ind w:firstLine="0"/>
              <w:jc w:val="left"/>
              <w:rPr>
                <w:rFonts w:ascii="Times New Roman" w:eastAsia="Times New Roman" w:hAnsi="Times New Roman" w:cs="Times New Roman"/>
                <w:b w:val="0"/>
                <w:bCs w:val="0"/>
                <w:i w:val="0"/>
                <w:iCs w:val="0"/>
                <w:smallCaps w:val="0"/>
                <w:color w:val="000000"/>
                <w:kern w:val="0"/>
                <w:sz w:val="24"/>
                <w:szCs w:val="24"/>
              </w:rPr>
            </w:pPr>
            <w:r>
              <w:rPr>
                <w:rStyle w:val="divCharacter"/>
                <w:rFonts w:ascii="Times New Roman" w:eastAsia="Times New Roman" w:hAnsi="Times New Roman"/>
                <w:b w:val="0"/>
                <w:bCs w:val="0"/>
                <w:i w:val="0"/>
                <w:iCs w:val="0"/>
                <w:smallCaps w:val="0"/>
                <w:color w:val="000000"/>
                <w:kern w:val="0"/>
                <w:sz w:val="24"/>
                <w:szCs w:val="24"/>
              </w:rPr>
              <w:t>6,809,829,272.35</w:t>
            </w:r>
            <w:r>
              <w:rPr>
                <w:rStyle w:val="divCharacter"/>
                <w:rFonts w:ascii="Times New Roman" w:eastAsia="Times New Roman" w:hAnsi="Times New Roman" w:cs="Times New Roman"/>
                <w:b w:val="0"/>
                <w:bCs w:val="0"/>
                <w:i w:val="0"/>
                <w:iCs w:val="0"/>
                <w:smallCaps w:val="0"/>
                <w:color w:val="000000"/>
                <w:kern w:val="0"/>
                <w:sz w:val="24"/>
                <w:szCs w:val="24"/>
              </w:rPr>
              <w:t xml:space="preserve"> </w:t>
            </w:r>
            <w:r>
              <w:rPr>
                <w:rStyle w:val="divCharacter"/>
                <w:rFonts w:ascii="SimSun" w:eastAsia="SimSun" w:hAnsi="SimSun" w:cs="SimSun"/>
                <w:b w:val="0"/>
                <w:bCs w:val="0"/>
                <w:i w:val="0"/>
                <w:iCs w:val="0"/>
                <w:smallCaps w:val="0"/>
                <w:color w:val="000000"/>
                <w:kern w:val="0"/>
                <w:sz w:val="24"/>
                <w:szCs w:val="24"/>
              </w:rPr>
              <w:t>份</w:t>
            </w:r>
          </w:p>
        </w:tc>
      </w:tr>
      <w:tr>
        <w:tblPrEx>
          <w:tblW w:w="5000" w:type="pct"/>
          <w:jc w:val="center"/>
          <w:tblCellMar>
            <w:top w:w="0" w:type="dxa"/>
            <w:left w:w="0" w:type="dxa"/>
            <w:bottom w:w="0" w:type="dxa"/>
            <w:right w:w="0" w:type="dxa"/>
          </w:tblCellMar>
          <w:tblLook w:val="05E0"/>
        </w:tblPrEx>
        <w:trPr>
          <w:jc w:val="center"/>
        </w:trPr>
        <w:tc>
          <w:tcPr>
            <w:tcW w:w="3251"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管理人</w:t>
            </w:r>
          </w:p>
        </w:tc>
        <w:tc>
          <w:tcPr>
            <w:tcW w:w="5779"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创金合信基金管理有限公司</w:t>
            </w:r>
          </w:p>
        </w:tc>
      </w:tr>
      <w:tr>
        <w:tblPrEx>
          <w:tblW w:w="5000" w:type="pct"/>
          <w:jc w:val="center"/>
          <w:tblCellMar>
            <w:top w:w="0" w:type="dxa"/>
            <w:left w:w="0" w:type="dxa"/>
            <w:bottom w:w="0" w:type="dxa"/>
            <w:right w:w="0" w:type="dxa"/>
          </w:tblCellMar>
          <w:tblLook w:val="05E0"/>
        </w:tblPrEx>
        <w:trPr>
          <w:jc w:val="center"/>
        </w:trPr>
        <w:tc>
          <w:tcPr>
            <w:tcW w:w="3251"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托管人</w:t>
            </w:r>
          </w:p>
        </w:tc>
        <w:tc>
          <w:tcPr>
            <w:tcW w:w="5779"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0" w:after="0"/>
              <w:ind w:left="0" w:right="0" w:firstLine="0"/>
              <w:jc w:val="left"/>
              <w:rPr>
                <w:rFonts w:ascii="SimSun" w:eastAsia="SimSun" w:hAnsi="SimSun" w:cs="SimSu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宁波银行股份有限公司</w:t>
            </w:r>
          </w:p>
        </w:tc>
      </w:tr>
    </w:tbl>
    <w:p w:rsidR="001E621F" w:rsidP="00AB1E37">
      <w:pPr>
        <w:autoSpaceDE w:val="0"/>
        <w:autoSpaceDN w:val="0"/>
        <w:adjustRightInd w:val="0"/>
        <w:spacing w:before="30" w:line="288" w:lineRule="auto"/>
        <w:ind w:left="15" w:firstLine="482"/>
        <w:jc w:val="left"/>
        <w:rPr>
          <w:rFonts w:ascii="宋体"/>
          <w:color w:val="000000"/>
          <w:kern w:val="0"/>
          <w:sz w:val="24"/>
          <w:szCs w:val="24"/>
        </w:rPr>
      </w:pPr>
    </w:p>
    <w:p w:rsidR="001E621F" w:rsidRPr="001E621F" w:rsidP="00C32C5C" w14:textId="0C7B063A">
      <w:pPr>
        <w:autoSpaceDE w:val="0"/>
        <w:autoSpaceDN w:val="0"/>
        <w:adjustRightInd w:val="0"/>
        <w:spacing w:before="30" w:line="288" w:lineRule="auto"/>
        <w:jc w:val="center"/>
        <w:outlineLvl w:val="0"/>
        <w:rPr>
          <w:rFonts w:ascii="Times New Roman" w:hAnsi="Times New Roman"/>
          <w:b/>
          <w:color w:val="000000"/>
          <w:kern w:val="0"/>
          <w:sz w:val="24"/>
          <w:szCs w:val="24"/>
        </w:rPr>
      </w:pPr>
      <w:bookmarkStart w:id="2" w:name="_Toc256000002"/>
      <w:r>
        <w:rPr>
          <w:rFonts w:ascii="Times New Roman" w:hAnsi="Times New Roman"/>
          <w:b/>
          <w:noProof/>
          <w:color w:val="000000"/>
          <w:kern w:val="0"/>
          <w:sz w:val="24"/>
          <w:szCs w:val="24"/>
        </w:rPr>
        <w:t xml:space="preserve">§3  </w:t>
      </w:r>
      <w:r>
        <w:rPr>
          <w:rFonts w:ascii="Times New Roman" w:hAnsi="Times New Roman"/>
          <w:b/>
          <w:noProof/>
          <w:color w:val="000000"/>
          <w:kern w:val="0"/>
          <w:sz w:val="24"/>
          <w:szCs w:val="24"/>
        </w:rPr>
        <w:t>主要财务指标和资产管理计划净值表现</w:t>
      </w:r>
      <w:bookmarkEnd w:id="2"/>
    </w:p>
    <w:p w:rsidR="00AB1E37" w:rsidRPr="001E621F" w:rsidP="001E621F" w14:paraId="71868469" w14:textId="5C76B383">
      <w:pPr>
        <w:autoSpaceDE w:val="0"/>
        <w:autoSpaceDN w:val="0"/>
        <w:adjustRightInd w:val="0"/>
        <w:spacing w:before="30" w:line="288" w:lineRule="auto"/>
        <w:ind w:left="15"/>
        <w:jc w:val="left"/>
        <w:outlineLvl w:val="1"/>
        <w:rPr>
          <w:rFonts w:ascii="Times New Roman" w:hAnsi="Times New Roman"/>
          <w:b/>
          <w:color w:val="000000"/>
          <w:kern w:val="0"/>
          <w:sz w:val="24"/>
          <w:szCs w:val="24"/>
        </w:rPr>
      </w:pPr>
      <w:bookmarkStart w:id="3" w:name="_Toc256000003"/>
      <w:r w:rsidR="001E621F">
        <w:rPr>
          <w:rFonts w:ascii="Times New Roman" w:hAnsi="Times New Roman"/>
          <w:b/>
          <w:noProof/>
          <w:color w:val="000000"/>
          <w:kern w:val="0"/>
          <w:sz w:val="24"/>
          <w:szCs w:val="24"/>
        </w:rPr>
        <w:t>3.1 主要财务指标</w:t>
      </w:r>
      <w:bookmarkEnd w:id="3"/>
    </w:p>
    <w:p w14:paraId="5092B25F" w14:textId="0180F0FA">
      <w:pPr>
        <w:spacing w:before="0" w:after="0" w:line="360" w:lineRule="auto"/>
        <w:ind w:left="0" w:right="0" w:firstLine="420"/>
        <w:jc w:val="right"/>
        <w:rPr>
          <w:rFonts w:ascii="Times New Roman" w:eastAsia="Times New Roman" w:hAnsi="Times New Roman" w:cs="Times New Roman"/>
          <w:kern w:val="0"/>
          <w:sz w:val="24"/>
          <w:szCs w:val="24"/>
        </w:rPr>
      </w:pPr>
      <w:r>
        <w:rPr>
          <w:rFonts w:ascii="SimSun" w:eastAsia="SimSun" w:hAnsi="SimSun" w:cs="SimSun"/>
          <w:kern w:val="0"/>
          <w:sz w:val="24"/>
          <w:szCs w:val="24"/>
        </w:rPr>
        <w:t>单位：人民币元</w:t>
      </w:r>
    </w:p>
    <w:tbl>
      <w:tblPr>
        <w:tblW w:w="9070" w:type="dxa"/>
        <w:jc w:val="center"/>
        <w:tblCellMar>
          <w:top w:w="0" w:type="dxa"/>
          <w:left w:w="0" w:type="dxa"/>
          <w:bottom w:w="0" w:type="dxa"/>
          <w:right w:w="0" w:type="dxa"/>
        </w:tblCellMar>
      </w:tblPr>
      <w:tblGrid>
        <w:gridCol w:w="3103"/>
        <w:gridCol w:w="5967"/>
      </w:tblGrid>
      <w:tr>
        <w:tblPrEx>
          <w:tblW w:w="9070" w:type="dxa"/>
          <w:jc w:val="center"/>
          <w:tblCellMar>
            <w:top w:w="0" w:type="dxa"/>
            <w:left w:w="0" w:type="dxa"/>
            <w:bottom w:w="0" w:type="dxa"/>
            <w:right w:w="0" w:type="dxa"/>
          </w:tblCellMar>
        </w:tblPrEx>
        <w:trPr>
          <w:trHeight w:val="270"/>
          <w:jc w:val="center"/>
        </w:trPr>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bCs/>
                <w:i w:val="0"/>
                <w:iCs w:val="0"/>
                <w:smallCaps w:val="0"/>
                <w:color w:val="000000"/>
                <w:kern w:val="0"/>
                <w:sz w:val="24"/>
                <w:szCs w:val="24"/>
              </w:rPr>
              <w:t>主要财务指标</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2023年10月01日-2023年12月31日</w:t>
            </w:r>
          </w:p>
        </w:tc>
      </w:tr>
      <w:tr>
        <w:tblPrEx>
          <w:tblW w:w="9070" w:type="dxa"/>
          <w:jc w:val="center"/>
          <w:tblCellMar>
            <w:top w:w="0" w:type="dxa"/>
            <w:left w:w="0" w:type="dxa"/>
            <w:bottom w:w="0" w:type="dxa"/>
            <w:right w:w="0" w:type="dxa"/>
          </w:tblCellMar>
        </w:tblPrEx>
        <w:trPr>
          <w:trHeight w:val="270"/>
          <w:jc w:val="center"/>
        </w:trPr>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本期已实现收益</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right"/>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82,341,402.27</w:t>
            </w:r>
          </w:p>
        </w:tc>
      </w:tr>
      <w:tr>
        <w:tblPrEx>
          <w:tblW w:w="9070" w:type="dxa"/>
          <w:jc w:val="center"/>
          <w:tblCellMar>
            <w:top w:w="0" w:type="dxa"/>
            <w:left w:w="0" w:type="dxa"/>
            <w:bottom w:w="0" w:type="dxa"/>
            <w:right w:w="0" w:type="dxa"/>
          </w:tblCellMar>
        </w:tblPrEx>
        <w:trPr>
          <w:trHeight w:val="270"/>
          <w:jc w:val="center"/>
        </w:trPr>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本期利润</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right"/>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127,214,905.07</w:t>
            </w:r>
          </w:p>
        </w:tc>
      </w:tr>
      <w:tr>
        <w:tblPrEx>
          <w:tblW w:w="9070" w:type="dxa"/>
          <w:jc w:val="center"/>
          <w:tblCellMar>
            <w:top w:w="0" w:type="dxa"/>
            <w:left w:w="0" w:type="dxa"/>
            <w:bottom w:w="0" w:type="dxa"/>
            <w:right w:w="0" w:type="dxa"/>
          </w:tblCellMar>
        </w:tblPrEx>
        <w:trPr>
          <w:trHeight w:val="270"/>
          <w:jc w:val="center"/>
        </w:trPr>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期末资产净值</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right"/>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8,318,905,907.87</w:t>
            </w:r>
          </w:p>
        </w:tc>
      </w:tr>
      <w:tr>
        <w:tblPrEx>
          <w:tblW w:w="9070" w:type="dxa"/>
          <w:jc w:val="center"/>
          <w:tblCellMar>
            <w:top w:w="0" w:type="dxa"/>
            <w:left w:w="0" w:type="dxa"/>
            <w:bottom w:w="0" w:type="dxa"/>
            <w:right w:w="0" w:type="dxa"/>
          </w:tblCellMar>
        </w:tblPrEx>
        <w:trPr>
          <w:trHeight w:val="270"/>
          <w:jc w:val="center"/>
        </w:trPr>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期末份额净值</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right"/>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1.221603</w:t>
            </w:r>
          </w:p>
        </w:tc>
      </w:tr>
      <w:tr>
        <w:tblPrEx>
          <w:tblW w:w="9070" w:type="dxa"/>
          <w:jc w:val="center"/>
          <w:tblCellMar>
            <w:top w:w="0" w:type="dxa"/>
            <w:left w:w="0" w:type="dxa"/>
            <w:bottom w:w="0" w:type="dxa"/>
            <w:right w:w="0" w:type="dxa"/>
          </w:tblCellMar>
        </w:tblPrEx>
        <w:trPr>
          <w:trHeight w:val="270"/>
          <w:jc w:val="center"/>
        </w:trPr>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本期总分红金额</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right"/>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273,113.77</w:t>
            </w:r>
          </w:p>
        </w:tc>
      </w:tr>
    </w:tbl>
    <w:p w:rsidR="00AB1E37" w:rsidP="001E621F">
      <w:pPr>
        <w:autoSpaceDE w:val="0"/>
        <w:autoSpaceDN w:val="0"/>
        <w:adjustRightInd w:val="0"/>
        <w:spacing w:before="30" w:line="288" w:lineRule="auto"/>
        <w:ind w:left="15" w:firstLine="482"/>
        <w:jc w:val="left"/>
        <w:rPr>
          <w:rFonts w:ascii="宋体"/>
          <w:noProof/>
          <w:color w:val="000000"/>
          <w:kern w:val="0"/>
          <w:sz w:val="24"/>
          <w:szCs w:val="24"/>
        </w:rPr>
      </w:pPr>
    </w:p>
    <w:p w:rsidR="00AB1E37" w:rsidRPr="001E621F" w:rsidP="001E621F" w14:textId="5C76B383">
      <w:pPr>
        <w:autoSpaceDE w:val="0"/>
        <w:autoSpaceDN w:val="0"/>
        <w:adjustRightInd w:val="0"/>
        <w:spacing w:before="30" w:line="288" w:lineRule="auto"/>
        <w:ind w:left="15"/>
        <w:jc w:val="left"/>
        <w:outlineLvl w:val="1"/>
        <w:rPr>
          <w:rFonts w:ascii="Times New Roman" w:hAnsi="Times New Roman"/>
          <w:b/>
          <w:color w:val="000000"/>
          <w:kern w:val="0"/>
          <w:sz w:val="24"/>
          <w:szCs w:val="24"/>
        </w:rPr>
      </w:pPr>
      <w:bookmarkStart w:id="4" w:name="_Toc256000004"/>
      <w:r w:rsidR="001E621F">
        <w:rPr>
          <w:rFonts w:ascii="Times New Roman" w:hAnsi="Times New Roman"/>
          <w:b/>
          <w:noProof/>
          <w:color w:val="000000"/>
          <w:kern w:val="0"/>
          <w:sz w:val="24"/>
          <w:szCs w:val="24"/>
        </w:rPr>
        <w:t>3.2 资产管理计划净值表现</w:t>
      </w:r>
      <w:bookmarkEnd w:id="4"/>
    </w:p>
    <w:tbl>
      <w:tblPr>
        <w:jc w:val="center"/>
        <w:tblInd w:w="600" w:type="dxa"/>
        <w:tblCellMar>
          <w:top w:w="0" w:type="dxa"/>
          <w:left w:w="0" w:type="dxa"/>
          <w:bottom w:w="0" w:type="dxa"/>
          <w:right w:w="0" w:type="dxa"/>
        </w:tblCellMar>
      </w:tblPr>
      <w:tblGrid>
        <w:gridCol w:w="5654"/>
        <w:gridCol w:w="2836"/>
      </w:tblGrid>
      <w:tr>
        <w:tblPrEx>
          <w:jc w:val="center"/>
          <w:tblInd w:w="600" w:type="dxa"/>
          <w:tblCellMar>
            <w:top w:w="0" w:type="dxa"/>
            <w:left w:w="0" w:type="dxa"/>
            <w:bottom w:w="0" w:type="dxa"/>
            <w:right w:w="0" w:type="dxa"/>
          </w:tblCellMar>
        </w:tblPrEx>
        <w:trPr>
          <w:jc w:val="center"/>
        </w:trPr>
        <w:tc>
          <w:tcPr>
            <w:tcW w:w="6096"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阶段</w:t>
            </w:r>
          </w:p>
        </w:tc>
        <w:tc>
          <w:tcPr>
            <w:tcW w:w="2835"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净值增长率</w:t>
            </w:r>
          </w:p>
        </w:tc>
      </w:tr>
      <w:tr>
        <w:tblPrEx>
          <w:jc w:val="center"/>
          <w:tblInd w:w="600" w:type="dxa"/>
          <w:tblCellMar>
            <w:top w:w="0" w:type="dxa"/>
            <w:left w:w="0" w:type="dxa"/>
            <w:bottom w:w="0" w:type="dxa"/>
            <w:right w:w="0" w:type="dxa"/>
          </w:tblCellMar>
        </w:tblPrEx>
        <w:trPr>
          <w:jc w:val="center"/>
        </w:trPr>
        <w:tc>
          <w:tcPr>
            <w:tcW w:w="6096"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过去三个月</w:t>
            </w:r>
          </w:p>
        </w:tc>
        <w:tc>
          <w:tcPr>
            <w:tcW w:w="2835"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jc w:val="right"/>
              <w:rPr>
                <w:rFonts w:ascii="SimSun" w:eastAsia="SimSun" w:hAnsi="SimSun" w:cs="SimSu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1.4217%</w:t>
            </w:r>
          </w:p>
        </w:tc>
      </w:tr>
    </w:tbl>
    <w:p w:rsidR="00AB1E37" w:rsidP="001E621F" w14:textId="0180F0FA">
      <w:pPr>
        <w:autoSpaceDE w:val="0"/>
        <w:autoSpaceDN w:val="0"/>
        <w:adjustRightInd w:val="0"/>
        <w:spacing w:before="30" w:line="288" w:lineRule="auto"/>
        <w:ind w:left="15" w:firstLine="482"/>
        <w:jc w:val="left"/>
        <w:rPr>
          <w:rFonts w:ascii="宋体"/>
          <w:noProof/>
          <w:color w:val="000000"/>
          <w:kern w:val="0"/>
          <w:sz w:val="24"/>
          <w:szCs w:val="24"/>
        </w:rPr>
      </w:pPr>
    </w:p>
    <w:p w:rsidR="001E621F" w:rsidRPr="001E621F" w:rsidP="00C32C5C" w14:textId="0C7B063A">
      <w:pPr>
        <w:autoSpaceDE w:val="0"/>
        <w:autoSpaceDN w:val="0"/>
        <w:adjustRightInd w:val="0"/>
        <w:spacing w:before="30" w:line="288" w:lineRule="auto"/>
        <w:jc w:val="center"/>
        <w:outlineLvl w:val="0"/>
        <w:rPr>
          <w:rFonts w:ascii="Times New Roman" w:hAnsi="Times New Roman"/>
          <w:b/>
          <w:color w:val="000000"/>
          <w:kern w:val="0"/>
          <w:sz w:val="24"/>
          <w:szCs w:val="24"/>
        </w:rPr>
      </w:pPr>
      <w:bookmarkStart w:id="5" w:name="_Toc256000005"/>
      <w:r>
        <w:rPr>
          <w:rFonts w:ascii="Times New Roman" w:hAnsi="Times New Roman"/>
          <w:b/>
          <w:noProof/>
          <w:color w:val="000000"/>
          <w:kern w:val="0"/>
          <w:sz w:val="24"/>
          <w:szCs w:val="24"/>
        </w:rPr>
        <w:t xml:space="preserve">§4  </w:t>
      </w:r>
      <w:r>
        <w:rPr>
          <w:rFonts w:ascii="Times New Roman" w:hAnsi="Times New Roman"/>
          <w:b/>
          <w:noProof/>
          <w:color w:val="000000"/>
          <w:kern w:val="0"/>
          <w:sz w:val="24"/>
          <w:szCs w:val="24"/>
        </w:rPr>
        <w:t>管理人报告</w:t>
      </w:r>
      <w:bookmarkEnd w:id="5"/>
    </w:p>
    <w:p w:rsidR="00AB1E37" w:rsidRPr="001E621F" w:rsidP="001E621F" w14:textId="5C76B383">
      <w:pPr>
        <w:autoSpaceDE w:val="0"/>
        <w:autoSpaceDN w:val="0"/>
        <w:adjustRightInd w:val="0"/>
        <w:spacing w:before="30" w:line="288" w:lineRule="auto"/>
        <w:ind w:left="15"/>
        <w:jc w:val="left"/>
        <w:outlineLvl w:val="1"/>
        <w:rPr>
          <w:rFonts w:ascii="Times New Roman" w:hAnsi="Times New Roman"/>
          <w:b/>
          <w:color w:val="000000"/>
          <w:kern w:val="0"/>
          <w:sz w:val="24"/>
          <w:szCs w:val="24"/>
        </w:rPr>
      </w:pPr>
      <w:bookmarkStart w:id="6" w:name="_Toc256000006"/>
      <w:r w:rsidR="001E621F">
        <w:rPr>
          <w:rFonts w:ascii="Times New Roman" w:hAnsi="Times New Roman"/>
          <w:b/>
          <w:noProof/>
          <w:color w:val="000000"/>
          <w:kern w:val="0"/>
          <w:sz w:val="24"/>
          <w:szCs w:val="24"/>
        </w:rPr>
        <w:t>4.1 投资经理</w:t>
      </w:r>
      <w:r w:rsidR="001E621F">
        <w:rPr>
          <w:rFonts w:ascii="Times New Roman" w:hAnsi="Times New Roman"/>
          <w:b/>
          <w:noProof/>
          <w:color w:val="000000"/>
          <w:kern w:val="0"/>
          <w:sz w:val="24"/>
          <w:szCs w:val="24"/>
        </w:rPr>
        <w:t>（或投资经理小组）简介</w:t>
      </w:r>
      <w:bookmarkEnd w:id="6"/>
    </w:p>
    <w:p w14:textId="0180F0FA">
      <w:pPr>
        <w:spacing w:before="0" w:after="0" w:line="360" w:lineRule="auto"/>
        <w:ind w:left="0" w:right="0" w:firstLine="420"/>
        <w:jc w:val="left"/>
        <w:rPr>
          <w:rFonts w:ascii="SimSun" w:eastAsia="SimSun" w:hAnsi="SimSun" w:cs="SimSun"/>
          <w:kern w:val="0"/>
          <w:sz w:val="24"/>
          <w:szCs w:val="24"/>
        </w:rPr>
      </w:pPr>
      <w:r>
        <w:rPr>
          <w:rFonts w:ascii="SimSun" w:eastAsia="SimSun" w:hAnsi="SimSun" w:cs="SimSun"/>
          <w:kern w:val="0"/>
          <w:sz w:val="24"/>
          <w:szCs w:val="24"/>
        </w:rPr>
        <w:t>董莹女士，中国国籍，香港城市大学硕士、香港中文大学（深圳）硕士。2013年2月加入宏信证券有限责任公司，先后在固定收益总部、资产管理总部担任高级交易经理。2019年7月加入创金合信基金管理有限公司，曾任研究员，现任投资经理。</w:t>
      </w:r>
    </w:p>
    <w:p>
      <w:pPr>
        <w:spacing w:before="0" w:after="0" w:line="360" w:lineRule="auto"/>
        <w:ind w:left="0" w:right="0" w:firstLine="420"/>
        <w:jc w:val="left"/>
        <w:rPr>
          <w:rFonts w:ascii="SimSun" w:eastAsia="SimSun" w:hAnsi="SimSun" w:cs="SimSun"/>
          <w:kern w:val="0"/>
          <w:sz w:val="24"/>
          <w:szCs w:val="24"/>
        </w:rPr>
      </w:pPr>
      <w:r>
        <w:rPr>
          <w:rFonts w:ascii="SimSun" w:eastAsia="SimSun" w:hAnsi="SimSun" w:cs="SimSun"/>
          <w:kern w:val="0"/>
          <w:sz w:val="24"/>
          <w:szCs w:val="24"/>
        </w:rPr>
        <w:t>高峰先生，中国国籍，北京城市学院学士。2012年10月加入第一创业证券股份有限公司，任资产管理部交易员，2017年9月加入创金合信基金管理有限公司，曾任固定收益交易员，现任投资经理。</w:t>
      </w:r>
    </w:p>
    <w:p w:rsidR="00AB1E37" w:rsidP="001E621F">
      <w:pPr>
        <w:autoSpaceDE w:val="0"/>
        <w:autoSpaceDN w:val="0"/>
        <w:adjustRightInd w:val="0"/>
        <w:spacing w:before="30" w:line="288" w:lineRule="auto"/>
        <w:ind w:left="15" w:firstLine="482"/>
        <w:jc w:val="left"/>
        <w:rPr>
          <w:rFonts w:ascii="宋体"/>
          <w:noProof/>
          <w:color w:val="000000"/>
          <w:kern w:val="0"/>
          <w:sz w:val="24"/>
          <w:szCs w:val="24"/>
        </w:rPr>
      </w:pPr>
    </w:p>
    <w:p w:rsidR="00AB1E37" w:rsidRPr="001E621F" w:rsidP="001E621F" w14:textId="5C76B383">
      <w:pPr>
        <w:autoSpaceDE w:val="0"/>
        <w:autoSpaceDN w:val="0"/>
        <w:adjustRightInd w:val="0"/>
        <w:spacing w:before="30" w:line="288" w:lineRule="auto"/>
        <w:ind w:left="15"/>
        <w:jc w:val="left"/>
        <w:outlineLvl w:val="1"/>
        <w:rPr>
          <w:rFonts w:ascii="Times New Roman" w:hAnsi="Times New Roman"/>
          <w:b/>
          <w:color w:val="000000"/>
          <w:kern w:val="0"/>
          <w:sz w:val="24"/>
          <w:szCs w:val="24"/>
        </w:rPr>
      </w:pPr>
      <w:bookmarkStart w:id="7" w:name="_Toc256000007"/>
      <w:r w:rsidR="001E621F">
        <w:rPr>
          <w:rFonts w:ascii="Times New Roman" w:hAnsi="Times New Roman"/>
          <w:b/>
          <w:noProof/>
          <w:color w:val="000000"/>
          <w:kern w:val="0"/>
          <w:sz w:val="24"/>
          <w:szCs w:val="24"/>
        </w:rPr>
        <w:t>4.2 公平交易</w:t>
      </w:r>
      <w:r w:rsidR="001E621F">
        <w:rPr>
          <w:rFonts w:ascii="Times New Roman" w:hAnsi="Times New Roman"/>
          <w:b/>
          <w:noProof/>
          <w:color w:val="000000"/>
          <w:kern w:val="0"/>
          <w:sz w:val="24"/>
          <w:szCs w:val="24"/>
        </w:rPr>
        <w:t>、异常交易的专项说明</w:t>
      </w:r>
      <w:bookmarkEnd w:id="7"/>
    </w:p>
    <w:p w14:textId="0180F0FA">
      <w:pPr>
        <w:spacing w:before="0" w:after="0" w:line="360" w:lineRule="auto"/>
        <w:ind w:left="0" w:right="0" w:firstLine="420"/>
        <w:jc w:val="left"/>
        <w:rPr>
          <w:rFonts w:ascii="Times New Roman" w:eastAsia="Times New Roman" w:hAnsi="Times New Roman" w:cs="Times New Roman"/>
          <w:kern w:val="0"/>
          <w:sz w:val="24"/>
          <w:szCs w:val="24"/>
        </w:rPr>
      </w:pPr>
      <w:r>
        <w:rPr>
          <w:rFonts w:ascii="SimSun" w:eastAsia="SimSun" w:hAnsi="SimSun" w:cs="SimSun"/>
          <w:b/>
          <w:bCs/>
          <w:kern w:val="0"/>
          <w:sz w:val="24"/>
          <w:szCs w:val="24"/>
        </w:rPr>
        <w:t>4.2.1 公平交易制度和控制方法</w:t>
      </w:r>
    </w:p>
    <w:p>
      <w:pPr>
        <w:spacing w:before="0" w:after="0" w:line="360" w:lineRule="auto"/>
        <w:ind w:left="0" w:right="0" w:firstLine="420"/>
        <w:rPr>
          <w:rFonts w:ascii="Times New Roman" w:eastAsia="Times New Roman" w:hAnsi="Times New Roman" w:cs="Times New Roman"/>
          <w:kern w:val="0"/>
          <w:sz w:val="24"/>
          <w:szCs w:val="24"/>
        </w:rPr>
      </w:pPr>
      <w:r>
        <w:rPr>
          <w:rFonts w:ascii="SimSun" w:eastAsia="SimSun" w:hAnsi="SimSun" w:cs="SimSun"/>
          <w:kern w:val="0"/>
          <w:sz w:val="24"/>
          <w:szCs w:val="24"/>
        </w:rPr>
        <w:t>为了进一步规范和完善管理人（以下简称“本公司”）投资和交易管理，严格遵守法律法规关于公平交易的相关规定，根据《证券投资基金管理公司公平交易制度指导意见（2011年修订）》、《证券期货经营机构私募资产管理计划运作管理规定》、《证券期货经营机构私募资产管理业务管理办法》等法律法规，公司制定了《创金合信基金管理有限公司公平交易与异常交易管理制度》，该《制度》涵盖了境内上市股票、债券的一级市场申购、二级市场交易等投资管理活动，同时对授权、研究分析与投资决策、交易执行的内部控制、交易指令的分配执行、公平交易监控、报告措施及信息披露、利益冲突的防范和异常交易的监控等方面进行了全面规范。具体控制措施如下：</w:t>
      </w:r>
    </w:p>
    <w:p>
      <w:pPr>
        <w:spacing w:before="0" w:after="0" w:line="360" w:lineRule="auto"/>
        <w:ind w:left="0" w:right="0" w:firstLine="420"/>
        <w:rPr>
          <w:rFonts w:ascii="Times New Roman" w:eastAsia="Times New Roman" w:hAnsi="Times New Roman" w:cs="Times New Roman"/>
          <w:kern w:val="0"/>
          <w:sz w:val="24"/>
          <w:szCs w:val="24"/>
        </w:rPr>
      </w:pPr>
      <w:r>
        <w:rPr>
          <w:rFonts w:ascii="SimSun" w:eastAsia="SimSun" w:hAnsi="SimSun" w:cs="SimSun"/>
          <w:kern w:val="0"/>
          <w:sz w:val="24"/>
          <w:szCs w:val="24"/>
        </w:rPr>
        <w:t>1、授权、研究分析与投资决策的内部控制</w:t>
      </w:r>
    </w:p>
    <w:p>
      <w:pPr>
        <w:spacing w:before="0" w:after="0" w:line="360" w:lineRule="auto"/>
        <w:ind w:left="0" w:right="0" w:firstLine="420"/>
        <w:rPr>
          <w:rFonts w:ascii="Times New Roman" w:eastAsia="Times New Roman" w:hAnsi="Times New Roman" w:cs="Times New Roman"/>
          <w:kern w:val="0"/>
          <w:sz w:val="24"/>
          <w:szCs w:val="24"/>
        </w:rPr>
      </w:pPr>
      <w:r>
        <w:rPr>
          <w:rFonts w:ascii="SimSun" w:eastAsia="SimSun" w:hAnsi="SimSun" w:cs="SimSun"/>
          <w:kern w:val="0"/>
          <w:sz w:val="24"/>
          <w:szCs w:val="24"/>
        </w:rPr>
        <w:t>建立投资授权制度，明确各投资决策主体的职责和权限划分；建立客观的研究方法，任何投资分析和建议均应有充分的事实和数据支持，避免主观臆断，严禁利用内幕信息作为投资依据；确保所有投资组合平等地享有研究成果；根据不同投资组合的投资目标、投资风格、投资范围和投资限制等，建立不同投资组合的投资风格库和交易对手备选库，投资组合经理在此基础上根据投资授权构建具体的投资组合并独立进行投资决策。</w:t>
      </w:r>
    </w:p>
    <w:p>
      <w:pPr>
        <w:spacing w:before="0" w:after="0" w:line="360" w:lineRule="auto"/>
        <w:ind w:left="0" w:right="0" w:firstLine="420"/>
        <w:rPr>
          <w:rFonts w:ascii="Times New Roman" w:eastAsia="Times New Roman" w:hAnsi="Times New Roman" w:cs="Times New Roman"/>
          <w:kern w:val="0"/>
          <w:sz w:val="24"/>
          <w:szCs w:val="24"/>
        </w:rPr>
      </w:pPr>
      <w:r>
        <w:rPr>
          <w:rFonts w:ascii="SimSun" w:eastAsia="SimSun" w:hAnsi="SimSun" w:cs="SimSun"/>
          <w:kern w:val="0"/>
          <w:sz w:val="24"/>
          <w:szCs w:val="24"/>
        </w:rPr>
        <w:t>2、交易执行的内部控制</w:t>
      </w:r>
    </w:p>
    <w:p>
      <w:pPr>
        <w:spacing w:before="0" w:after="0" w:line="360" w:lineRule="auto"/>
        <w:ind w:left="0" w:right="0" w:firstLine="420"/>
        <w:rPr>
          <w:rFonts w:ascii="Times New Roman" w:eastAsia="Times New Roman" w:hAnsi="Times New Roman" w:cs="Times New Roman"/>
          <w:kern w:val="0"/>
          <w:sz w:val="24"/>
          <w:szCs w:val="24"/>
        </w:rPr>
      </w:pPr>
      <w:r>
        <w:rPr>
          <w:rFonts w:ascii="SimSun" w:eastAsia="SimSun" w:hAnsi="SimSun" w:cs="SimSun"/>
          <w:kern w:val="0"/>
          <w:sz w:val="24"/>
          <w:szCs w:val="24"/>
        </w:rPr>
        <w:t>公司实行集中交易制度，将投资管理职能和交易执行职能相隔离；建立公平的交易分配机制，确保各投资组合享有公平的交易执行机会；同时严格限制同一投资组合的当日反向交易，以及严格控制不同投资组合之间可能导致不公平交易和利益输送的同日反向交易。</w:t>
      </w:r>
    </w:p>
    <w:p>
      <w:pPr>
        <w:spacing w:before="0" w:after="0" w:line="360" w:lineRule="auto"/>
        <w:ind w:left="0" w:right="0" w:firstLine="420"/>
        <w:rPr>
          <w:rFonts w:ascii="Times New Roman" w:eastAsia="Times New Roman" w:hAnsi="Times New Roman" w:cs="Times New Roman"/>
          <w:kern w:val="0"/>
          <w:sz w:val="24"/>
          <w:szCs w:val="24"/>
        </w:rPr>
      </w:pPr>
      <w:r>
        <w:rPr>
          <w:rFonts w:ascii="SimSun" w:eastAsia="SimSun" w:hAnsi="SimSun" w:cs="SimSun"/>
          <w:kern w:val="0"/>
          <w:sz w:val="24"/>
          <w:szCs w:val="24"/>
        </w:rPr>
        <w:t>3、交易指令分配的控制</w:t>
      </w:r>
    </w:p>
    <w:p>
      <w:pPr>
        <w:spacing w:before="0" w:after="0" w:line="360" w:lineRule="auto"/>
        <w:ind w:left="0" w:right="0" w:firstLine="420"/>
        <w:rPr>
          <w:rFonts w:ascii="Times New Roman" w:eastAsia="Times New Roman" w:hAnsi="Times New Roman" w:cs="Times New Roman"/>
          <w:kern w:val="0"/>
          <w:sz w:val="24"/>
          <w:szCs w:val="24"/>
        </w:rPr>
      </w:pPr>
      <w:r>
        <w:rPr>
          <w:rFonts w:ascii="SimSun" w:eastAsia="SimSun" w:hAnsi="SimSun" w:cs="SimSun"/>
          <w:kern w:val="0"/>
          <w:sz w:val="24"/>
          <w:szCs w:val="24"/>
        </w:rPr>
        <w:t>所有投资对象的投资指令必须经由交易室总监或其授权人审核后分配至交易员执行。</w:t>
      </w:r>
    </w:p>
    <w:p>
      <w:pPr>
        <w:spacing w:before="0" w:after="0" w:line="360" w:lineRule="auto"/>
        <w:ind w:left="0" w:right="0" w:firstLine="420"/>
        <w:rPr>
          <w:rFonts w:ascii="Times New Roman" w:eastAsia="Times New Roman" w:hAnsi="Times New Roman" w:cs="Times New Roman"/>
          <w:kern w:val="0"/>
          <w:sz w:val="24"/>
          <w:szCs w:val="24"/>
        </w:rPr>
      </w:pPr>
      <w:r>
        <w:rPr>
          <w:rFonts w:ascii="SimSun" w:eastAsia="SimSun" w:hAnsi="SimSun" w:cs="SimSun"/>
          <w:kern w:val="0"/>
          <w:sz w:val="24"/>
          <w:szCs w:val="24"/>
        </w:rPr>
        <w:t>交易员对于接收到的交易指令依照时间优先、价格优先的顺序执行。在执行多个投资组合在同一时点就同一证券下达的相同方向的投资指令时，需根据价格优先、比例分配的原则，经过公平性审核，公平对待多个不同投资组合的投资指令。</w:t>
      </w:r>
    </w:p>
    <w:p>
      <w:pPr>
        <w:spacing w:before="0" w:after="0" w:line="360" w:lineRule="auto"/>
        <w:ind w:left="0" w:right="0" w:firstLine="420"/>
        <w:rPr>
          <w:rFonts w:ascii="Times New Roman" w:eastAsia="Times New Roman" w:hAnsi="Times New Roman" w:cs="Times New Roman"/>
          <w:kern w:val="0"/>
          <w:sz w:val="24"/>
          <w:szCs w:val="24"/>
        </w:rPr>
      </w:pPr>
      <w:r>
        <w:rPr>
          <w:rFonts w:ascii="SimSun" w:eastAsia="SimSun" w:hAnsi="SimSun" w:cs="SimSun"/>
          <w:kern w:val="0"/>
          <w:sz w:val="24"/>
          <w:szCs w:val="24"/>
        </w:rPr>
        <w:t>4、公平交易监控</w:t>
      </w:r>
    </w:p>
    <w:p>
      <w:pPr>
        <w:spacing w:before="0" w:after="0" w:line="360" w:lineRule="auto"/>
        <w:ind w:left="0" w:right="0" w:firstLine="420"/>
        <w:rPr>
          <w:rFonts w:ascii="Times New Roman" w:eastAsia="Times New Roman" w:hAnsi="Times New Roman" w:cs="Times New Roman"/>
          <w:kern w:val="0"/>
          <w:sz w:val="24"/>
          <w:szCs w:val="24"/>
        </w:rPr>
      </w:pPr>
      <w:r>
        <w:rPr>
          <w:rFonts w:ascii="SimSun" w:eastAsia="SimSun" w:hAnsi="SimSun" w:cs="SimSun"/>
          <w:kern w:val="0"/>
          <w:sz w:val="24"/>
          <w:szCs w:val="24"/>
        </w:rPr>
        <w:t>公司建立异常交易行为日常监控和分析评估制度。合规与风险管理部、交易室负责异常交易的日常实时监控，合规与风险管理部于每季度、每半年度和每年度对公司管理的不同投资组合不同时间窗内（如1日内、3日、5日内）同向交易的交易价差进行分析，对不同投资组合临近交易日的反向交易的交易价差进行分析。相关投资组合经理应对异常交易情况进行合理性解释，由投资组合经理、督察长、总经理签署后，妥善保存分析报告备查。</w:t>
      </w:r>
    </w:p>
    <w:p>
      <w:pPr>
        <w:spacing w:before="0" w:after="0" w:line="360" w:lineRule="auto"/>
        <w:ind w:left="0" w:right="0" w:firstLine="420"/>
        <w:jc w:val="left"/>
        <w:rPr>
          <w:rFonts w:ascii="Times New Roman" w:eastAsia="Times New Roman" w:hAnsi="Times New Roman" w:cs="Times New Roman"/>
          <w:kern w:val="0"/>
          <w:sz w:val="24"/>
          <w:szCs w:val="24"/>
        </w:rPr>
      </w:pPr>
      <w:r>
        <w:rPr>
          <w:rFonts w:ascii="SimSun" w:eastAsia="SimSun" w:hAnsi="SimSun" w:cs="SimSun"/>
          <w:b/>
          <w:bCs/>
          <w:kern w:val="0"/>
          <w:sz w:val="24"/>
          <w:szCs w:val="24"/>
        </w:rPr>
        <w:t>4.2.2 公平交易制度的执行情况</w:t>
      </w:r>
    </w:p>
    <w:p>
      <w:pPr>
        <w:spacing w:before="0" w:after="0" w:line="360" w:lineRule="auto"/>
        <w:ind w:left="0" w:right="0" w:firstLine="420"/>
        <w:rPr>
          <w:rFonts w:ascii="Times New Roman" w:eastAsia="Times New Roman" w:hAnsi="Times New Roman" w:cs="Times New Roman"/>
          <w:kern w:val="0"/>
          <w:sz w:val="24"/>
          <w:szCs w:val="24"/>
        </w:rPr>
      </w:pPr>
      <w:r>
        <w:rPr>
          <w:rFonts w:ascii="SimSun" w:eastAsia="SimSun" w:hAnsi="SimSun" w:cs="SimSun"/>
          <w:kern w:val="0"/>
          <w:sz w:val="24"/>
          <w:szCs w:val="24"/>
        </w:rPr>
        <w:t>本报告期内，公司参照《证券投资基金管理公司公平交易制度指导意见（2011年修订）》，完善相应制度及流程，通过系统和人工等各种方式在各业务环节严格控制交易公平执行，公平对待旗下管理的所有投资组合。本报告期内公司根据《证券投资基金管理公司公平交易制度指导意见（2011年修订）》及《创金合信基金管理有限公司公平交易与异常交易管理制度》对本报告期同向交易价差进行了专项分析，未发现异常交易情况。</w:t>
      </w:r>
    </w:p>
    <w:p>
      <w:pPr>
        <w:spacing w:before="0" w:after="0" w:line="360" w:lineRule="auto"/>
        <w:ind w:left="0" w:right="0" w:firstLine="420"/>
        <w:jc w:val="left"/>
        <w:rPr>
          <w:rFonts w:ascii="Times New Roman" w:eastAsia="Times New Roman" w:hAnsi="Times New Roman" w:cs="Times New Roman"/>
          <w:kern w:val="0"/>
          <w:sz w:val="24"/>
          <w:szCs w:val="24"/>
        </w:rPr>
      </w:pPr>
      <w:r>
        <w:rPr>
          <w:rFonts w:ascii="SimSun" w:eastAsia="SimSun" w:hAnsi="SimSun" w:cs="SimSun"/>
          <w:b/>
          <w:bCs/>
          <w:kern w:val="0"/>
          <w:sz w:val="24"/>
          <w:szCs w:val="24"/>
        </w:rPr>
        <w:t>4.2.3 异常交易行为的专项说明</w:t>
      </w:r>
    </w:p>
    <w:p>
      <w:pPr>
        <w:spacing w:before="0" w:after="0" w:line="360" w:lineRule="auto"/>
        <w:ind w:left="0" w:right="0" w:firstLine="420"/>
        <w:jc w:val="left"/>
        <w:rPr>
          <w:rFonts w:ascii="Times New Roman" w:eastAsia="Times New Roman" w:hAnsi="Times New Roman" w:cs="Times New Roman"/>
          <w:kern w:val="0"/>
          <w:sz w:val="24"/>
          <w:szCs w:val="24"/>
        </w:rPr>
      </w:pPr>
      <w:r>
        <w:rPr>
          <w:rFonts w:ascii="SimSun" w:eastAsia="SimSun" w:hAnsi="SimSun" w:cs="SimSun"/>
          <w:kern w:val="0"/>
          <w:sz w:val="24"/>
          <w:szCs w:val="24"/>
        </w:rPr>
        <w:t>本计划本报告期内未发现异常交易行为。</w:t>
      </w:r>
    </w:p>
    <w:p>
      <w:pPr>
        <w:spacing w:before="0" w:after="0" w:line="360" w:lineRule="auto"/>
        <w:ind w:left="0" w:right="0" w:firstLine="420"/>
        <w:rPr>
          <w:rFonts w:ascii="Times New Roman" w:eastAsia="Times New Roman" w:hAnsi="Times New Roman" w:cs="Times New Roman"/>
          <w:kern w:val="0"/>
          <w:sz w:val="24"/>
          <w:szCs w:val="24"/>
        </w:rPr>
      </w:pPr>
      <w:r>
        <w:rPr>
          <w:rFonts w:ascii="SimSun" w:eastAsia="SimSun" w:hAnsi="SimSun" w:cs="SimSun"/>
          <w:b/>
          <w:bCs/>
          <w:kern w:val="0"/>
          <w:sz w:val="24"/>
          <w:szCs w:val="24"/>
        </w:rPr>
        <w:t>4.2.4 本报告期关联交易汇报</w:t>
      </w:r>
    </w:p>
    <w:p>
      <w:pPr>
        <w:spacing w:before="0" w:after="0" w:line="360" w:lineRule="auto"/>
        <w:ind w:left="0" w:right="0" w:firstLine="420"/>
        <w:jc w:val="left"/>
        <w:rPr>
          <w:rFonts w:ascii="Times New Roman" w:eastAsia="Times New Roman" w:hAnsi="Times New Roman" w:cs="Times New Roman"/>
          <w:kern w:val="0"/>
          <w:sz w:val="24"/>
          <w:szCs w:val="24"/>
        </w:rPr>
      </w:pPr>
      <w:r>
        <w:rPr>
          <w:rFonts w:ascii="SimSun" w:eastAsia="SimSun" w:hAnsi="SimSun" w:cs="SimSun"/>
          <w:kern w:val="0"/>
          <w:sz w:val="24"/>
          <w:szCs w:val="24"/>
        </w:rPr>
        <w:t>本报告期与计划发生关联交易的各关联方</w:t>
      </w:r>
    </w:p>
    <w:tbl>
      <w:tblPr>
        <w:jc w:val="center"/>
        <w:tblCellMar>
          <w:top w:w="0" w:type="dxa"/>
          <w:left w:w="0" w:type="dxa"/>
          <w:bottom w:w="0" w:type="dxa"/>
          <w:right w:w="0" w:type="dxa"/>
        </w:tblCellMar>
      </w:tblPr>
      <w:tblGrid>
        <w:gridCol w:w="1951"/>
        <w:gridCol w:w="7139"/>
      </w:tblGrid>
      <w:tr>
        <w:tblPrEx>
          <w:jc w:val="center"/>
          <w:tblCellMar>
            <w:top w:w="0" w:type="dxa"/>
            <w:left w:w="0" w:type="dxa"/>
            <w:bottom w:w="0" w:type="dxa"/>
            <w:right w:w="0" w:type="dxa"/>
          </w:tblCellMar>
        </w:tblPrEx>
        <w:trPr>
          <w:jc w:val="center"/>
        </w:trPr>
        <w:tc>
          <w:tcPr>
            <w:tcW w:w="2616"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与本计划的关系</w:t>
            </w:r>
          </w:p>
        </w:tc>
        <w:tc>
          <w:tcPr>
            <w:tcW w:w="7256"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名称</w:t>
            </w:r>
          </w:p>
        </w:tc>
      </w:tr>
      <w:tr>
        <w:tblPrEx>
          <w:jc w:val="center"/>
          <w:tblCellMar>
            <w:top w:w="0" w:type="dxa"/>
            <w:left w:w="0" w:type="dxa"/>
            <w:bottom w:w="0" w:type="dxa"/>
            <w:right w:w="0" w:type="dxa"/>
          </w:tblCellMar>
        </w:tblPrEx>
        <w:trPr>
          <w:jc w:val="center"/>
        </w:trPr>
        <w:tc>
          <w:tcPr>
            <w:tcW w:w="2616"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管理人</w:t>
            </w:r>
          </w:p>
        </w:tc>
        <w:tc>
          <w:tcPr>
            <w:tcW w:w="7256"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创金合信基金管理有限公司及其关联方</w:t>
            </w:r>
          </w:p>
        </w:tc>
      </w:tr>
      <w:tr>
        <w:tblPrEx>
          <w:jc w:val="center"/>
          <w:tblCellMar>
            <w:top w:w="0" w:type="dxa"/>
            <w:left w:w="0" w:type="dxa"/>
            <w:bottom w:w="0" w:type="dxa"/>
            <w:right w:w="0" w:type="dxa"/>
          </w:tblCellMar>
        </w:tblPrEx>
        <w:trPr>
          <w:jc w:val="center"/>
        </w:trPr>
        <w:tc>
          <w:tcPr>
            <w:tcW w:w="2616"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托管人</w:t>
            </w:r>
          </w:p>
        </w:tc>
        <w:tc>
          <w:tcPr>
            <w:tcW w:w="7256"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宁波银行股份有限公司及其关联方</w:t>
            </w:r>
          </w:p>
        </w:tc>
      </w:tr>
      <w:tr>
        <w:tblPrEx>
          <w:jc w:val="center"/>
          <w:tblCellMar>
            <w:top w:w="0" w:type="dxa"/>
            <w:left w:w="0" w:type="dxa"/>
            <w:bottom w:w="0" w:type="dxa"/>
            <w:right w:w="0" w:type="dxa"/>
          </w:tblCellMar>
        </w:tblPrEx>
        <w:trPr>
          <w:jc w:val="center"/>
        </w:trPr>
        <w:tc>
          <w:tcPr>
            <w:tcW w:w="2616"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投资顾问</w:t>
            </w:r>
          </w:p>
        </w:tc>
        <w:tc>
          <w:tcPr>
            <w:tcW w:w="7256"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无</w:t>
            </w:r>
          </w:p>
        </w:tc>
      </w:tr>
      <w:tr>
        <w:tblPrEx>
          <w:jc w:val="center"/>
          <w:tblCellMar>
            <w:top w:w="0" w:type="dxa"/>
            <w:left w:w="0" w:type="dxa"/>
            <w:bottom w:w="0" w:type="dxa"/>
            <w:right w:w="0" w:type="dxa"/>
          </w:tblCellMar>
        </w:tblPrEx>
        <w:trPr>
          <w:jc w:val="center"/>
        </w:trPr>
        <w:tc>
          <w:tcPr>
            <w:tcW w:w="2616"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委托人</w:t>
            </w:r>
          </w:p>
        </w:tc>
        <w:tc>
          <w:tcPr>
            <w:tcW w:w="7256"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百合花定期理财19037期及其关联方</w:t>
            </w:r>
          </w:p>
        </w:tc>
      </w:tr>
    </w:tbl>
    <w:p>
      <w:pPr>
        <w:spacing w:before="0" w:after="0" w:line="360" w:lineRule="auto"/>
        <w:ind w:left="0" w:right="0" w:firstLine="480"/>
        <w:rPr>
          <w:rFonts w:ascii="SimSun" w:eastAsia="SimSun" w:hAnsi="SimSun" w:cs="SimSun"/>
          <w:kern w:val="0"/>
          <w:sz w:val="24"/>
          <w:szCs w:val="24"/>
        </w:rPr>
      </w:pPr>
      <w:r>
        <w:rPr>
          <w:rFonts w:ascii="SimSun" w:eastAsia="SimSun" w:hAnsi="SimSun" w:cs="SimSun"/>
          <w:kern w:val="0"/>
          <w:sz w:val="24"/>
          <w:szCs w:val="24"/>
        </w:rPr>
        <w:t>资产管理人秉持勤勉尽责的理念，根据《关于规范金融机构资产管理业务的指导意见》、《证券期货经营机构私募资产管理业务管理办法》、《证券期货经营机构私募资产管理计划运作管理规定》、《证券期货经营机构私募资产管理计划备案办法》等其他法律法规及合同对于关联交易信息披露的规定，对于本报告期内资产管理计划进行的关联交易进行汇报。重大关联交易是指资产管理人运用计划财产投资于资产管理人、资产托管人及前述机构的控股股东、实际控制人或者其他关联方发行的证券或者承销期内承销的证券以及中国证监会、基金业协会规定的其他重大关联交易情形；</w:t>
      </w:r>
      <w:r>
        <w:rPr>
          <w:rFonts w:ascii="SimSun" w:eastAsia="SimSun" w:hAnsi="SimSun" w:cs="SimSun"/>
          <w:kern w:val="0"/>
          <w:sz w:val="24"/>
          <w:szCs w:val="24"/>
        </w:rPr>
        <w:t>本报告期内该资产管理计划未进行关联交易。</w:t>
      </w:r>
      <w:r>
        <w:rPr>
          <w:rFonts w:ascii="SimSun" w:eastAsia="SimSun" w:hAnsi="SimSun" w:cs="SimSun"/>
          <w:kern w:val="0"/>
          <w:sz w:val="24"/>
          <w:szCs w:val="24"/>
        </w:rPr>
        <w:t>管理人关联方清单详见附件。</w:t>
      </w:r>
    </w:p>
    <w:p>
      <w:pPr>
        <w:spacing w:before="0" w:after="0" w:line="360" w:lineRule="auto"/>
        <w:ind w:left="0" w:right="0" w:firstLine="420"/>
        <w:rPr>
          <w:rFonts w:ascii="Times New Roman" w:eastAsia="Times New Roman" w:hAnsi="Times New Roman" w:cs="Times New Roman"/>
          <w:kern w:val="0"/>
          <w:sz w:val="24"/>
          <w:szCs w:val="24"/>
        </w:rPr>
      </w:pPr>
    </w:p>
    <w:p w:rsidR="00AB1E37" w:rsidP="001E621F">
      <w:pPr>
        <w:autoSpaceDE w:val="0"/>
        <w:autoSpaceDN w:val="0"/>
        <w:adjustRightInd w:val="0"/>
        <w:spacing w:before="30" w:line="288" w:lineRule="auto"/>
        <w:ind w:left="15" w:firstLine="482"/>
        <w:jc w:val="left"/>
        <w:rPr>
          <w:rFonts w:ascii="宋体"/>
          <w:noProof/>
          <w:color w:val="000000"/>
          <w:kern w:val="0"/>
          <w:sz w:val="24"/>
          <w:szCs w:val="24"/>
        </w:rPr>
      </w:pPr>
    </w:p>
    <w:p w:rsidR="001E621F" w:rsidRPr="001E621F" w:rsidP="00C32C5C" w14:textId="0C7B063A">
      <w:pPr>
        <w:autoSpaceDE w:val="0"/>
        <w:autoSpaceDN w:val="0"/>
        <w:adjustRightInd w:val="0"/>
        <w:spacing w:before="30" w:line="288" w:lineRule="auto"/>
        <w:jc w:val="center"/>
        <w:outlineLvl w:val="0"/>
        <w:rPr>
          <w:rFonts w:ascii="Times New Roman" w:hAnsi="Times New Roman"/>
          <w:b/>
          <w:color w:val="000000"/>
          <w:kern w:val="0"/>
          <w:sz w:val="24"/>
          <w:szCs w:val="24"/>
        </w:rPr>
      </w:pPr>
      <w:bookmarkStart w:id="8" w:name="_Toc256000008"/>
      <w:r>
        <w:rPr>
          <w:rFonts w:ascii="Times New Roman" w:hAnsi="Times New Roman"/>
          <w:b/>
          <w:noProof/>
          <w:color w:val="000000"/>
          <w:kern w:val="0"/>
          <w:sz w:val="24"/>
          <w:szCs w:val="24"/>
        </w:rPr>
        <w:t xml:space="preserve">§5 </w:t>
      </w:r>
      <w:r>
        <w:rPr>
          <w:rFonts w:ascii="Times New Roman" w:hAnsi="Times New Roman"/>
          <w:b/>
          <w:noProof/>
          <w:color w:val="000000"/>
          <w:kern w:val="0"/>
          <w:sz w:val="24"/>
          <w:szCs w:val="24"/>
        </w:rPr>
        <w:t>投资组合报告</w:t>
      </w:r>
      <w:bookmarkEnd w:id="8"/>
    </w:p>
    <w:p w:rsidR="00AB1E37" w:rsidRPr="001E621F" w:rsidP="001E621F" w14:textId="5C76B383">
      <w:pPr>
        <w:autoSpaceDE w:val="0"/>
        <w:autoSpaceDN w:val="0"/>
        <w:adjustRightInd w:val="0"/>
        <w:spacing w:before="30" w:line="288" w:lineRule="auto"/>
        <w:ind w:left="15"/>
        <w:jc w:val="left"/>
        <w:outlineLvl w:val="1"/>
        <w:rPr>
          <w:rFonts w:ascii="Times New Roman" w:hAnsi="Times New Roman"/>
          <w:b/>
          <w:color w:val="000000"/>
          <w:kern w:val="0"/>
          <w:sz w:val="24"/>
          <w:szCs w:val="24"/>
        </w:rPr>
      </w:pPr>
      <w:bookmarkStart w:id="9" w:name="_Toc256000009"/>
      <w:r w:rsidR="001E621F">
        <w:rPr>
          <w:rFonts w:ascii="Times New Roman" w:hAnsi="Times New Roman"/>
          <w:b/>
          <w:noProof/>
          <w:color w:val="000000"/>
          <w:kern w:val="0"/>
          <w:sz w:val="24"/>
          <w:szCs w:val="24"/>
        </w:rPr>
        <w:t>5.1 报告期末资产组合情况</w:t>
      </w:r>
      <w:bookmarkEnd w:id="9"/>
    </w:p>
    <w:p w14:textId="0180F0FA">
      <w:pPr>
        <w:spacing w:before="0" w:after="0" w:line="360" w:lineRule="auto"/>
        <w:ind w:left="0" w:right="0" w:firstLine="420"/>
        <w:jc w:val="right"/>
        <w:rPr>
          <w:rFonts w:ascii="Times New Roman" w:eastAsia="Times New Roman" w:hAnsi="Times New Roman" w:cs="Times New Roman"/>
          <w:kern w:val="0"/>
          <w:sz w:val="24"/>
          <w:szCs w:val="24"/>
        </w:rPr>
      </w:pPr>
      <w:r>
        <w:rPr>
          <w:rFonts w:ascii="SimSun" w:eastAsia="SimSun" w:hAnsi="SimSun" w:cs="SimSun"/>
          <w:kern w:val="0"/>
          <w:sz w:val="24"/>
          <w:szCs w:val="24"/>
        </w:rPr>
        <w:t>金额单位：人民币元</w:t>
      </w:r>
    </w:p>
    <w:tbl>
      <w:tblPr>
        <w:jc w:val="center"/>
        <w:tblInd w:w="600" w:type="dxa"/>
        <w:tblCellMar>
          <w:top w:w="0" w:type="dxa"/>
          <w:left w:w="0" w:type="dxa"/>
          <w:bottom w:w="0" w:type="dxa"/>
          <w:right w:w="0" w:type="dxa"/>
        </w:tblCellMar>
      </w:tblPr>
      <w:tblGrid>
        <w:gridCol w:w="663"/>
        <w:gridCol w:w="3843"/>
        <w:gridCol w:w="1710"/>
        <w:gridCol w:w="2254"/>
      </w:tblGrid>
      <w:tr>
        <w:tblPrEx>
          <w:jc w:val="center"/>
          <w:tblInd w:w="600" w:type="dxa"/>
          <w:tblCellMar>
            <w:top w:w="0" w:type="dxa"/>
            <w:left w:w="0" w:type="dxa"/>
            <w:bottom w:w="0" w:type="dxa"/>
            <w:right w:w="0" w:type="dxa"/>
          </w:tblCellMar>
        </w:tblPrEx>
        <w:trPr>
          <w:jc w:val="center"/>
        </w:trPr>
        <w:tc>
          <w:tcPr>
            <w:tcW w:w="7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序号</w:t>
            </w:r>
          </w:p>
        </w:tc>
        <w:tc>
          <w:tcPr>
            <w:tcW w:w="361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项目</w:t>
            </w:r>
          </w:p>
        </w:tc>
        <w:tc>
          <w:tcPr>
            <w:tcW w:w="2529"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金额（元）</w:t>
            </w:r>
          </w:p>
        </w:tc>
        <w:tc>
          <w:tcPr>
            <w:tcW w:w="2167"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占总资产的比例（%）</w:t>
            </w:r>
          </w:p>
        </w:tc>
      </w:tr>
      <w:tr>
        <w:tblPrEx>
          <w:jc w:val="center"/>
          <w:tblInd w:w="600" w:type="dxa"/>
          <w:tblCellMar>
            <w:top w:w="0" w:type="dxa"/>
            <w:left w:w="0" w:type="dxa"/>
            <w:bottom w:w="0" w:type="dxa"/>
            <w:right w:w="0" w:type="dxa"/>
          </w:tblCellMar>
        </w:tblPrEx>
        <w:trPr>
          <w:jc w:val="center"/>
        </w:trPr>
        <w:tc>
          <w:tcPr>
            <w:tcW w:w="7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1</w:t>
            </w:r>
          </w:p>
        </w:tc>
        <w:tc>
          <w:tcPr>
            <w:tcW w:w="361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权益投资</w:t>
            </w:r>
          </w:p>
        </w:tc>
        <w:tc>
          <w:tcPr>
            <w:tcW w:w="2529"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r>
      <w:tr>
        <w:tblPrEx>
          <w:jc w:val="center"/>
          <w:tblInd w:w="600" w:type="dxa"/>
          <w:tblCellMar>
            <w:top w:w="0" w:type="dxa"/>
            <w:left w:w="0" w:type="dxa"/>
            <w:bottom w:w="0" w:type="dxa"/>
            <w:right w:w="0" w:type="dxa"/>
          </w:tblCellMar>
        </w:tblPrEx>
        <w:trPr>
          <w:jc w:val="center"/>
        </w:trPr>
        <w:tc>
          <w:tcPr>
            <w:tcW w:w="7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tcPr>
          <w:p>
            <w:pPr>
              <w:spacing w:before="0" w:after="0" w:line="288" w:lineRule="auto"/>
              <w:ind w:left="0" w:right="0"/>
              <w:jc w:val="center"/>
              <w:rPr>
                <w:rFonts w:ascii="Times New Roman" w:eastAsia="Times New Roman" w:hAnsi="Times New Roman" w:cs="Times New Roman"/>
                <w:b w:val="0"/>
                <w:bCs w:val="0"/>
                <w:i w:val="0"/>
                <w:iCs w:val="0"/>
                <w:smallCaps w:val="0"/>
                <w:color w:val="000000"/>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其中：股票</w:t>
            </w:r>
          </w:p>
        </w:tc>
        <w:tc>
          <w:tcPr>
            <w:tcW w:w="2529"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r>
      <w:tr>
        <w:tblPrEx>
          <w:jc w:val="center"/>
          <w:tblInd w:w="600" w:type="dxa"/>
          <w:tblCellMar>
            <w:top w:w="0" w:type="dxa"/>
            <w:left w:w="0" w:type="dxa"/>
            <w:bottom w:w="0" w:type="dxa"/>
            <w:right w:w="0" w:type="dxa"/>
          </w:tblCellMar>
        </w:tblPrEx>
        <w:trPr>
          <w:jc w:val="center"/>
        </w:trPr>
        <w:tc>
          <w:tcPr>
            <w:tcW w:w="7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2</w:t>
            </w:r>
          </w:p>
        </w:tc>
        <w:tc>
          <w:tcPr>
            <w:tcW w:w="361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固定收益投资</w:t>
            </w:r>
          </w:p>
        </w:tc>
        <w:tc>
          <w:tcPr>
            <w:tcW w:w="2529"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8,122,416,898.94</w:t>
            </w:r>
          </w:p>
        </w:tc>
        <w:tc>
          <w:tcPr>
            <w:tcW w:w="2167"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96.21</w:t>
            </w:r>
          </w:p>
        </w:tc>
      </w:tr>
      <w:tr>
        <w:tblPrEx>
          <w:jc w:val="center"/>
          <w:tblInd w:w="600" w:type="dxa"/>
          <w:tblCellMar>
            <w:top w:w="0" w:type="dxa"/>
            <w:left w:w="0" w:type="dxa"/>
            <w:bottom w:w="0" w:type="dxa"/>
            <w:right w:w="0" w:type="dxa"/>
          </w:tblCellMar>
        </w:tblPrEx>
        <w:trPr>
          <w:jc w:val="center"/>
        </w:trPr>
        <w:tc>
          <w:tcPr>
            <w:tcW w:w="7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tcPr>
          <w:p>
            <w:pPr>
              <w:spacing w:before="0" w:after="0" w:line="288" w:lineRule="auto"/>
              <w:ind w:left="0" w:right="0"/>
              <w:jc w:val="center"/>
              <w:rPr>
                <w:rFonts w:ascii="Times New Roman" w:eastAsia="Times New Roman" w:hAnsi="Times New Roman" w:cs="Times New Roman"/>
                <w:b w:val="0"/>
                <w:bCs w:val="0"/>
                <w:i w:val="0"/>
                <w:iCs w:val="0"/>
                <w:smallCaps w:val="0"/>
                <w:color w:val="000000"/>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其中：债券</w:t>
            </w:r>
          </w:p>
        </w:tc>
        <w:tc>
          <w:tcPr>
            <w:tcW w:w="2529"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8,081,513,830.45</w:t>
            </w:r>
          </w:p>
        </w:tc>
        <w:tc>
          <w:tcPr>
            <w:tcW w:w="2167"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95.73</w:t>
            </w:r>
          </w:p>
        </w:tc>
      </w:tr>
      <w:tr>
        <w:tblPrEx>
          <w:jc w:val="center"/>
          <w:tblInd w:w="600" w:type="dxa"/>
          <w:tblCellMar>
            <w:top w:w="0" w:type="dxa"/>
            <w:left w:w="0" w:type="dxa"/>
            <w:bottom w:w="0" w:type="dxa"/>
            <w:right w:w="0" w:type="dxa"/>
          </w:tblCellMar>
        </w:tblPrEx>
        <w:trPr>
          <w:jc w:val="center"/>
        </w:trPr>
        <w:tc>
          <w:tcPr>
            <w:tcW w:w="7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tcPr>
          <w:p>
            <w:pPr>
              <w:spacing w:before="0" w:after="0" w:line="288" w:lineRule="auto"/>
              <w:ind w:left="0" w:right="0"/>
              <w:jc w:val="center"/>
              <w:rPr>
                <w:rFonts w:ascii="Times New Roman" w:eastAsia="Times New Roman" w:hAnsi="Times New Roman" w:cs="Times New Roman"/>
                <w:b w:val="0"/>
                <w:bCs w:val="0"/>
                <w:i w:val="0"/>
                <w:iCs w:val="0"/>
                <w:smallCaps w:val="0"/>
                <w:color w:val="000000"/>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    资产支持证券</w:t>
            </w:r>
          </w:p>
        </w:tc>
        <w:tc>
          <w:tcPr>
            <w:tcW w:w="2529"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40,903,068.49</w:t>
            </w:r>
          </w:p>
        </w:tc>
        <w:tc>
          <w:tcPr>
            <w:tcW w:w="2167"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0.48</w:t>
            </w:r>
          </w:p>
        </w:tc>
      </w:tr>
      <w:tr>
        <w:tblPrEx>
          <w:jc w:val="center"/>
          <w:tblInd w:w="600" w:type="dxa"/>
          <w:tblCellMar>
            <w:top w:w="0" w:type="dxa"/>
            <w:left w:w="0" w:type="dxa"/>
            <w:bottom w:w="0" w:type="dxa"/>
            <w:right w:w="0" w:type="dxa"/>
          </w:tblCellMar>
        </w:tblPrEx>
        <w:trPr>
          <w:jc w:val="center"/>
        </w:trPr>
        <w:tc>
          <w:tcPr>
            <w:tcW w:w="7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3</w:t>
            </w:r>
          </w:p>
        </w:tc>
        <w:tc>
          <w:tcPr>
            <w:tcW w:w="361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证券投资基金</w:t>
            </w:r>
          </w:p>
        </w:tc>
        <w:tc>
          <w:tcPr>
            <w:tcW w:w="2529"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r>
      <w:tr>
        <w:tblPrEx>
          <w:jc w:val="center"/>
          <w:tblInd w:w="600" w:type="dxa"/>
          <w:tblCellMar>
            <w:top w:w="0" w:type="dxa"/>
            <w:left w:w="0" w:type="dxa"/>
            <w:bottom w:w="0" w:type="dxa"/>
            <w:right w:w="0" w:type="dxa"/>
          </w:tblCellMar>
        </w:tblPrEx>
        <w:trPr>
          <w:jc w:val="center"/>
        </w:trPr>
        <w:tc>
          <w:tcPr>
            <w:tcW w:w="7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4</w:t>
            </w:r>
          </w:p>
        </w:tc>
        <w:tc>
          <w:tcPr>
            <w:tcW w:w="361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金融衍生品投资</w:t>
            </w:r>
          </w:p>
        </w:tc>
        <w:tc>
          <w:tcPr>
            <w:tcW w:w="2529"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r>
      <w:tr>
        <w:tblPrEx>
          <w:jc w:val="center"/>
          <w:tblInd w:w="600" w:type="dxa"/>
          <w:tblCellMar>
            <w:top w:w="0" w:type="dxa"/>
            <w:left w:w="0" w:type="dxa"/>
            <w:bottom w:w="0" w:type="dxa"/>
            <w:right w:w="0" w:type="dxa"/>
          </w:tblCellMar>
        </w:tblPrEx>
        <w:trPr>
          <w:jc w:val="center"/>
        </w:trPr>
        <w:tc>
          <w:tcPr>
            <w:tcW w:w="7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5</w:t>
            </w:r>
          </w:p>
        </w:tc>
        <w:tc>
          <w:tcPr>
            <w:tcW w:w="361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买入返售金融资产</w:t>
            </w:r>
          </w:p>
        </w:tc>
        <w:tc>
          <w:tcPr>
            <w:tcW w:w="2529"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r>
      <w:tr>
        <w:tblPrEx>
          <w:jc w:val="center"/>
          <w:tblInd w:w="600" w:type="dxa"/>
          <w:tblCellMar>
            <w:top w:w="0" w:type="dxa"/>
            <w:left w:w="0" w:type="dxa"/>
            <w:bottom w:w="0" w:type="dxa"/>
            <w:right w:w="0" w:type="dxa"/>
          </w:tblCellMar>
        </w:tblPrEx>
        <w:trPr>
          <w:jc w:val="center"/>
        </w:trPr>
        <w:tc>
          <w:tcPr>
            <w:tcW w:w="7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tcPr>
          <w:p>
            <w:pPr>
              <w:spacing w:before="0" w:after="0" w:line="288" w:lineRule="auto"/>
              <w:ind w:left="0" w:right="0"/>
              <w:jc w:val="center"/>
              <w:rPr>
                <w:rFonts w:ascii="Times New Roman" w:eastAsia="Times New Roman" w:hAnsi="Times New Roman" w:cs="Times New Roman"/>
                <w:b w:val="0"/>
                <w:bCs w:val="0"/>
                <w:i w:val="0"/>
                <w:iCs w:val="0"/>
                <w:smallCaps w:val="0"/>
                <w:color w:val="000000"/>
                <w:kern w:val="0"/>
                <w:sz w:val="24"/>
                <w:szCs w:val="24"/>
              </w:rPr>
            </w:pPr>
          </w:p>
        </w:tc>
        <w:tc>
          <w:tcPr>
            <w:tcW w:w="361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其中：买断式回购的买入返售金融资产</w:t>
            </w:r>
          </w:p>
        </w:tc>
        <w:tc>
          <w:tcPr>
            <w:tcW w:w="2529"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c>
          <w:tcPr>
            <w:tcW w:w="2167"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r>
      <w:tr>
        <w:tblPrEx>
          <w:jc w:val="center"/>
          <w:tblInd w:w="600" w:type="dxa"/>
          <w:tblCellMar>
            <w:top w:w="0" w:type="dxa"/>
            <w:left w:w="0" w:type="dxa"/>
            <w:bottom w:w="0" w:type="dxa"/>
            <w:right w:w="0" w:type="dxa"/>
          </w:tblCellMar>
        </w:tblPrEx>
        <w:trPr>
          <w:jc w:val="center"/>
        </w:trPr>
        <w:tc>
          <w:tcPr>
            <w:tcW w:w="7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6</w:t>
            </w:r>
          </w:p>
        </w:tc>
        <w:tc>
          <w:tcPr>
            <w:tcW w:w="361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银行存款和结算备付金合计</w:t>
            </w:r>
          </w:p>
        </w:tc>
        <w:tc>
          <w:tcPr>
            <w:tcW w:w="2529"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319,577,908.51</w:t>
            </w:r>
          </w:p>
        </w:tc>
        <w:tc>
          <w:tcPr>
            <w:tcW w:w="2167"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3.79</w:t>
            </w:r>
          </w:p>
        </w:tc>
      </w:tr>
      <w:tr>
        <w:tblPrEx>
          <w:jc w:val="center"/>
          <w:tblInd w:w="600" w:type="dxa"/>
          <w:tblCellMar>
            <w:top w:w="0" w:type="dxa"/>
            <w:left w:w="0" w:type="dxa"/>
            <w:bottom w:w="0" w:type="dxa"/>
            <w:right w:w="0" w:type="dxa"/>
          </w:tblCellMar>
        </w:tblPrEx>
        <w:trPr>
          <w:jc w:val="center"/>
        </w:trPr>
        <w:tc>
          <w:tcPr>
            <w:tcW w:w="7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7</w:t>
            </w:r>
          </w:p>
        </w:tc>
        <w:tc>
          <w:tcPr>
            <w:tcW w:w="361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其他资产</w:t>
            </w:r>
          </w:p>
        </w:tc>
        <w:tc>
          <w:tcPr>
            <w:tcW w:w="2529"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262,071.29</w:t>
            </w:r>
          </w:p>
        </w:tc>
        <w:tc>
          <w:tcPr>
            <w:tcW w:w="2167"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0.00</w:t>
            </w:r>
          </w:p>
        </w:tc>
      </w:tr>
      <w:tr>
        <w:tblPrEx>
          <w:jc w:val="center"/>
          <w:tblInd w:w="600" w:type="dxa"/>
          <w:tblCellMar>
            <w:top w:w="0" w:type="dxa"/>
            <w:left w:w="0" w:type="dxa"/>
            <w:bottom w:w="0" w:type="dxa"/>
            <w:right w:w="0" w:type="dxa"/>
          </w:tblCellMar>
        </w:tblPrEx>
        <w:trPr>
          <w:jc w:val="center"/>
        </w:trPr>
        <w:tc>
          <w:tcPr>
            <w:tcW w:w="7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8</w:t>
            </w:r>
          </w:p>
        </w:tc>
        <w:tc>
          <w:tcPr>
            <w:tcW w:w="361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合计</w:t>
            </w:r>
          </w:p>
        </w:tc>
        <w:tc>
          <w:tcPr>
            <w:tcW w:w="2529"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8,442,256,878.74</w:t>
            </w:r>
          </w:p>
        </w:tc>
        <w:tc>
          <w:tcPr>
            <w:tcW w:w="2167"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0" w:after="0"/>
              <w:ind w:left="0" w:right="0"/>
              <w:jc w:val="right"/>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100.00</w:t>
            </w:r>
          </w:p>
        </w:tc>
      </w:tr>
    </w:tbl>
    <w:p w:rsidR="00AB1E37" w:rsidP="001E621F">
      <w:pPr>
        <w:autoSpaceDE w:val="0"/>
        <w:autoSpaceDN w:val="0"/>
        <w:adjustRightInd w:val="0"/>
        <w:spacing w:before="30" w:line="288" w:lineRule="auto"/>
        <w:ind w:left="15" w:firstLine="482"/>
        <w:jc w:val="left"/>
        <w:rPr>
          <w:rFonts w:ascii="宋体"/>
          <w:noProof/>
          <w:color w:val="000000"/>
          <w:kern w:val="0"/>
          <w:sz w:val="24"/>
          <w:szCs w:val="24"/>
        </w:rPr>
      </w:pPr>
    </w:p>
    <w:p w:rsidR="00AB1E37" w:rsidRPr="001E621F" w:rsidP="001E621F" w14:textId="5C76B383">
      <w:pPr>
        <w:autoSpaceDE w:val="0"/>
        <w:autoSpaceDN w:val="0"/>
        <w:adjustRightInd w:val="0"/>
        <w:spacing w:before="30" w:line="288" w:lineRule="auto"/>
        <w:ind w:left="15"/>
        <w:jc w:val="left"/>
        <w:outlineLvl w:val="1"/>
        <w:rPr>
          <w:rFonts w:ascii="Times New Roman" w:hAnsi="Times New Roman"/>
          <w:b/>
          <w:color w:val="000000"/>
          <w:kern w:val="0"/>
          <w:sz w:val="24"/>
          <w:szCs w:val="24"/>
        </w:rPr>
      </w:pPr>
      <w:bookmarkStart w:id="10" w:name="_Toc256000010"/>
      <w:r w:rsidR="001E621F">
        <w:rPr>
          <w:rFonts w:ascii="Times New Roman" w:hAnsi="Times New Roman"/>
          <w:b/>
          <w:noProof/>
          <w:color w:val="000000"/>
          <w:kern w:val="0"/>
          <w:sz w:val="24"/>
          <w:szCs w:val="24"/>
        </w:rPr>
        <w:t>5.2 报告期末按公允价值占资产净值比例大小排名的前十名股票投资明细</w:t>
      </w:r>
      <w:bookmarkEnd w:id="10"/>
    </w:p>
    <w:p w14:textId="0180F0FA">
      <w:pPr>
        <w:spacing w:before="0" w:after="0" w:line="360" w:lineRule="auto"/>
        <w:ind w:left="0" w:right="0" w:firstLine="420"/>
        <w:jc w:val="right"/>
        <w:rPr>
          <w:rFonts w:ascii="Times New Roman" w:eastAsia="Times New Roman" w:hAnsi="Times New Roman" w:cs="Times New Roman"/>
          <w:kern w:val="0"/>
          <w:sz w:val="24"/>
          <w:szCs w:val="24"/>
        </w:rPr>
      </w:pPr>
      <w:r>
        <w:rPr>
          <w:rFonts w:ascii="SimSun" w:eastAsia="SimSun" w:hAnsi="SimSun" w:cs="SimSun"/>
          <w:kern w:val="0"/>
          <w:sz w:val="24"/>
          <w:szCs w:val="24"/>
        </w:rPr>
        <w:t>金额单位：人民币元</w:t>
      </w:r>
    </w:p>
    <w:tbl>
      <w:tblPr>
        <w:tblW w:w="9070" w:type="dxa"/>
        <w:jc w:val="center"/>
        <w:tblInd w:w="600" w:type="dxa"/>
        <w:tblCellMar>
          <w:top w:w="0" w:type="dxa"/>
          <w:left w:w="0" w:type="dxa"/>
          <w:bottom w:w="0" w:type="dxa"/>
          <w:right w:w="0" w:type="dxa"/>
        </w:tblCellMar>
      </w:tblPr>
      <w:tblGrid>
        <w:gridCol w:w="841"/>
        <w:gridCol w:w="1231"/>
        <w:gridCol w:w="1231"/>
        <w:gridCol w:w="1642"/>
        <w:gridCol w:w="1455"/>
        <w:gridCol w:w="2671"/>
      </w:tblGrid>
      <w:tr>
        <w:tblPrEx>
          <w:tblW w:w="9070" w:type="dxa"/>
          <w:jc w:val="center"/>
          <w:tblInd w:w="600" w:type="dxa"/>
          <w:tblCellMar>
            <w:top w:w="0" w:type="dxa"/>
            <w:left w:w="0" w:type="dxa"/>
            <w:bottom w:w="0" w:type="dxa"/>
            <w:right w:w="0" w:type="dxa"/>
          </w:tblCellMar>
        </w:tblPrEx>
        <w:trPr>
          <w:jc w:val="center"/>
        </w:trPr>
        <w:tc>
          <w:tcPr>
            <w:tcW w:w="938"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序号</w:t>
            </w:r>
            <w:r>
              <w:rPr>
                <w:rFonts w:ascii="Times New Roman" w:eastAsia="Times New Roman" w:hAnsi="Times New Roman" w:cs="Times New Roman"/>
                <w:b w:val="0"/>
                <w:bCs w:val="0"/>
                <w:i w:val="0"/>
                <w:iCs w:val="0"/>
                <w:smallCaps w:val="0"/>
                <w:color w:val="000000"/>
                <w:kern w:val="0"/>
                <w:sz w:val="24"/>
                <w:szCs w:val="24"/>
              </w:rPr>
              <w:t xml:space="preserve"> </w:t>
            </w:r>
          </w:p>
          <w:p>
            <w:pPr>
              <w:widowControl/>
              <w:ind w:left="15"/>
              <w:jc w:val="center"/>
              <w:rPr>
                <w:rFonts w:ascii="Times New Roman" w:eastAsia="Times New Roman" w:hAnsi="Times New Roman" w:cs="Times New Roman"/>
                <w:b w:val="0"/>
                <w:bCs w:val="0"/>
                <w:i w:val="0"/>
                <w:iCs w:val="0"/>
                <w:smallCaps w:val="0"/>
                <w:color w:val="000000"/>
                <w:kern w:val="0"/>
                <w:sz w:val="24"/>
                <w:szCs w:val="24"/>
              </w:rPr>
            </w:pPr>
          </w:p>
        </w:tc>
        <w:tc>
          <w:tcPr>
            <w:tcW w:w="1661"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股票代码</w:t>
            </w:r>
            <w:r>
              <w:rPr>
                <w:rFonts w:ascii="Times New Roman" w:eastAsia="Times New Roman" w:hAnsi="Times New Roman" w:cs="Times New Roman"/>
                <w:b w:val="0"/>
                <w:bCs w:val="0"/>
                <w:i w:val="0"/>
                <w:iCs w:val="0"/>
                <w:smallCaps w:val="0"/>
                <w:color w:val="000000"/>
                <w:kern w:val="0"/>
                <w:sz w:val="24"/>
                <w:szCs w:val="24"/>
              </w:rPr>
              <w:t xml:space="preserve"> </w:t>
            </w:r>
          </w:p>
          <w:p>
            <w:pPr>
              <w:widowControl/>
              <w:ind w:left="15"/>
              <w:jc w:val="center"/>
              <w:rPr>
                <w:rFonts w:ascii="Times New Roman" w:eastAsia="Times New Roman" w:hAnsi="Times New Roman" w:cs="Times New Roman"/>
                <w:b w:val="0"/>
                <w:bCs w:val="0"/>
                <w:i w:val="0"/>
                <w:iCs w:val="0"/>
                <w:smallCaps w:val="0"/>
                <w:color w:val="000000"/>
                <w:kern w:val="0"/>
                <w:sz w:val="24"/>
                <w:szCs w:val="24"/>
              </w:rPr>
            </w:pPr>
          </w:p>
        </w:tc>
        <w:tc>
          <w:tcPr>
            <w:tcW w:w="1661"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股票名称</w:t>
            </w:r>
            <w:r>
              <w:rPr>
                <w:rFonts w:ascii="Times New Roman" w:eastAsia="Times New Roman" w:hAnsi="Times New Roman" w:cs="Times New Roman"/>
                <w:b w:val="0"/>
                <w:bCs w:val="0"/>
                <w:i w:val="0"/>
                <w:iCs w:val="0"/>
                <w:smallCaps w:val="0"/>
                <w:color w:val="000000"/>
                <w:kern w:val="0"/>
                <w:sz w:val="24"/>
                <w:szCs w:val="24"/>
              </w:rPr>
              <w:t xml:space="preserve"> </w:t>
            </w:r>
          </w:p>
          <w:p>
            <w:pPr>
              <w:widowControl/>
              <w:ind w:left="15"/>
              <w:jc w:val="center"/>
              <w:rPr>
                <w:rFonts w:ascii="Times New Roman" w:eastAsia="Times New Roman" w:hAnsi="Times New Roman" w:cs="Times New Roman"/>
                <w:b w:val="0"/>
                <w:bCs w:val="0"/>
                <w:i w:val="0"/>
                <w:iCs w:val="0"/>
                <w:smallCaps w:val="0"/>
                <w:color w:val="000000"/>
                <w:kern w:val="0"/>
                <w:sz w:val="24"/>
                <w:szCs w:val="24"/>
              </w:rPr>
            </w:pPr>
          </w:p>
        </w:tc>
        <w:tc>
          <w:tcPr>
            <w:tcW w:w="20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数量（股）</w:t>
            </w:r>
            <w:r>
              <w:rPr>
                <w:rFonts w:ascii="Times New Roman" w:eastAsia="Times New Roman" w:hAnsi="Times New Roman" w:cs="Times New Roman"/>
                <w:b w:val="0"/>
                <w:bCs w:val="0"/>
                <w:i w:val="0"/>
                <w:iCs w:val="0"/>
                <w:smallCaps w:val="0"/>
                <w:color w:val="000000"/>
                <w:kern w:val="0"/>
                <w:sz w:val="24"/>
                <w:szCs w:val="24"/>
              </w:rPr>
              <w:t xml:space="preserve"> </w:t>
            </w:r>
          </w:p>
          <w:p>
            <w:pPr>
              <w:widowControl/>
              <w:ind w:left="15"/>
              <w:jc w:val="center"/>
              <w:rPr>
                <w:rFonts w:ascii="Times New Roman" w:eastAsia="Times New Roman" w:hAnsi="Times New Roman" w:cs="Times New Roman"/>
                <w:b w:val="0"/>
                <w:bCs w:val="0"/>
                <w:i w:val="0"/>
                <w:iCs w:val="0"/>
                <w:smallCaps w:val="0"/>
                <w:color w:val="000000"/>
                <w:kern w:val="0"/>
                <w:sz w:val="24"/>
                <w:szCs w:val="24"/>
              </w:rPr>
            </w:pPr>
          </w:p>
        </w:tc>
        <w:tc>
          <w:tcPr>
            <w:tcW w:w="20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公允价值</w:t>
            </w:r>
            <w:r>
              <w:rPr>
                <w:rFonts w:ascii="Times New Roman" w:eastAsia="Times New Roman" w:hAnsi="Times New Roman" w:cs="Times New Roman"/>
                <w:b w:val="0"/>
                <w:bCs w:val="0"/>
                <w:i w:val="0"/>
                <w:iCs w:val="0"/>
                <w:smallCaps w:val="0"/>
                <w:color w:val="000000"/>
                <w:kern w:val="0"/>
                <w:sz w:val="24"/>
                <w:szCs w:val="24"/>
              </w:rPr>
              <w:t xml:space="preserve"> </w:t>
            </w:r>
          </w:p>
          <w:p>
            <w:pPr>
              <w:widowControl/>
              <w:ind w:left="15"/>
              <w:jc w:val="center"/>
              <w:rPr>
                <w:rFonts w:ascii="Times New Roman" w:eastAsia="Times New Roman" w:hAnsi="Times New Roman" w:cs="Times New Roman"/>
                <w:b w:val="0"/>
                <w:bCs w:val="0"/>
                <w:i w:val="0"/>
                <w:iCs w:val="0"/>
                <w:smallCaps w:val="0"/>
                <w:color w:val="000000"/>
                <w:kern w:val="0"/>
                <w:sz w:val="24"/>
                <w:szCs w:val="24"/>
              </w:rPr>
            </w:pPr>
          </w:p>
        </w:tc>
        <w:tc>
          <w:tcPr>
            <w:tcW w:w="20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占资产净值比例（％）</w:t>
            </w:r>
            <w:r>
              <w:rPr>
                <w:rFonts w:ascii="Times New Roman" w:eastAsia="Times New Roman" w:hAnsi="Times New Roman" w:cs="Times New Roman"/>
                <w:b w:val="0"/>
                <w:bCs w:val="0"/>
                <w:i w:val="0"/>
                <w:iCs w:val="0"/>
                <w:smallCaps w:val="0"/>
                <w:color w:val="000000"/>
                <w:kern w:val="0"/>
                <w:sz w:val="24"/>
                <w:szCs w:val="24"/>
              </w:rPr>
              <w:t xml:space="preserve"> </w:t>
            </w:r>
          </w:p>
          <w:p>
            <w:pPr>
              <w:widowControl/>
              <w:ind w:left="15"/>
              <w:jc w:val="center"/>
              <w:rPr>
                <w:rFonts w:ascii="Times New Roman" w:eastAsia="Times New Roman" w:hAnsi="Times New Roman" w:cs="Times New Roman"/>
                <w:b w:val="0"/>
                <w:bCs w:val="0"/>
                <w:i w:val="0"/>
                <w:iCs w:val="0"/>
                <w:smallCaps w:val="0"/>
                <w:color w:val="000000"/>
                <w:kern w:val="0"/>
                <w:sz w:val="24"/>
                <w:szCs w:val="24"/>
              </w:rPr>
            </w:pPr>
          </w:p>
        </w:tc>
      </w:tr>
      <w:tr>
        <w:tblPrEx>
          <w:tblW w:w="9070" w:type="dxa"/>
          <w:jc w:val="center"/>
          <w:tblInd w:w="600" w:type="dxa"/>
          <w:tblCellMar>
            <w:top w:w="0" w:type="dxa"/>
            <w:left w:w="0" w:type="dxa"/>
            <w:bottom w:w="0" w:type="dxa"/>
            <w:right w:w="0" w:type="dxa"/>
          </w:tblCellMar>
        </w:tblPrEx>
        <w:trPr>
          <w:jc w:val="center"/>
        </w:trPr>
        <w:tc>
          <w:tcPr>
            <w:tcW w:w="938"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r>
              <w:rPr>
                <w:rFonts w:ascii="Times New Roman" w:eastAsia="Times New Roman" w:hAnsi="Times New Roman" w:cs="Times New Roman"/>
                <w:b w:val="0"/>
                <w:bCs w:val="0"/>
                <w:i w:val="0"/>
                <w:iCs w:val="0"/>
                <w:smallCaps w:val="0"/>
                <w:color w:val="000000"/>
                <w:kern w:val="0"/>
                <w:sz w:val="24"/>
                <w:szCs w:val="24"/>
              </w:rPr>
              <w:t xml:space="preserve"> </w:t>
            </w:r>
          </w:p>
          <w:p>
            <w:pPr>
              <w:widowControl/>
              <w:ind w:left="15"/>
              <w:jc w:val="center"/>
              <w:rPr>
                <w:rFonts w:ascii="Times New Roman" w:eastAsia="Times New Roman" w:hAnsi="Times New Roman" w:cs="Times New Roman"/>
                <w:b w:val="0"/>
                <w:bCs w:val="0"/>
                <w:i w:val="0"/>
                <w:iCs w:val="0"/>
                <w:smallCaps w:val="0"/>
                <w:color w:val="000000"/>
                <w:kern w:val="0"/>
                <w:sz w:val="24"/>
                <w:szCs w:val="24"/>
              </w:rPr>
            </w:pPr>
          </w:p>
        </w:tc>
        <w:tc>
          <w:tcPr>
            <w:tcW w:w="1661"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w:t>
            </w:r>
            <w:r>
              <w:rPr>
                <w:rFonts w:ascii="Times New Roman" w:eastAsia="Times New Roman" w:hAnsi="Times New Roman" w:cs="Times New Roman"/>
                <w:b w:val="0"/>
                <w:bCs w:val="0"/>
                <w:i w:val="0"/>
                <w:iCs w:val="0"/>
                <w:smallCaps w:val="0"/>
                <w:color w:val="000000"/>
                <w:kern w:val="0"/>
                <w:sz w:val="24"/>
                <w:szCs w:val="24"/>
              </w:rPr>
              <w:t xml:space="preserve"> </w:t>
            </w:r>
          </w:p>
          <w:p>
            <w:pPr>
              <w:widowControl/>
              <w:ind w:left="15"/>
              <w:jc w:val="center"/>
              <w:rPr>
                <w:rFonts w:ascii="Times New Roman" w:eastAsia="Times New Roman" w:hAnsi="Times New Roman" w:cs="Times New Roman"/>
                <w:b w:val="0"/>
                <w:bCs w:val="0"/>
                <w:i w:val="0"/>
                <w:iCs w:val="0"/>
                <w:smallCaps w:val="0"/>
                <w:color w:val="000000"/>
                <w:kern w:val="0"/>
                <w:sz w:val="24"/>
                <w:szCs w:val="24"/>
              </w:rPr>
            </w:pPr>
          </w:p>
        </w:tc>
        <w:tc>
          <w:tcPr>
            <w:tcW w:w="1661"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w:t>
            </w:r>
            <w:r>
              <w:rPr>
                <w:rFonts w:ascii="Times New Roman" w:eastAsia="Times New Roman" w:hAnsi="Times New Roman" w:cs="Times New Roman"/>
                <w:b w:val="0"/>
                <w:bCs w:val="0"/>
                <w:i w:val="0"/>
                <w:iCs w:val="0"/>
                <w:smallCaps w:val="0"/>
                <w:color w:val="000000"/>
                <w:kern w:val="0"/>
                <w:sz w:val="24"/>
                <w:szCs w:val="24"/>
              </w:rPr>
              <w:t xml:space="preserve"> </w:t>
            </w:r>
          </w:p>
          <w:p>
            <w:pPr>
              <w:widowControl/>
              <w:ind w:left="15"/>
              <w:jc w:val="center"/>
              <w:rPr>
                <w:rFonts w:ascii="Times New Roman" w:eastAsia="Times New Roman" w:hAnsi="Times New Roman" w:cs="Times New Roman"/>
                <w:b w:val="0"/>
                <w:bCs w:val="0"/>
                <w:i w:val="0"/>
                <w:iCs w:val="0"/>
                <w:smallCaps w:val="0"/>
                <w:color w:val="000000"/>
                <w:kern w:val="0"/>
                <w:sz w:val="24"/>
                <w:szCs w:val="24"/>
              </w:rPr>
            </w:pPr>
          </w:p>
        </w:tc>
        <w:tc>
          <w:tcPr>
            <w:tcW w:w="20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r>
              <w:rPr>
                <w:rFonts w:ascii="Times New Roman" w:eastAsia="Times New Roman" w:hAnsi="Times New Roman" w:cs="Times New Roman"/>
                <w:b w:val="0"/>
                <w:bCs w:val="0"/>
                <w:i w:val="0"/>
                <w:iCs w:val="0"/>
                <w:smallCaps w:val="0"/>
                <w:color w:val="000000"/>
                <w:kern w:val="0"/>
                <w:sz w:val="24"/>
                <w:szCs w:val="24"/>
              </w:rPr>
              <w:t xml:space="preserve"> </w:t>
            </w:r>
          </w:p>
          <w:p>
            <w:pPr>
              <w:widowControl/>
              <w:ind w:left="15"/>
              <w:jc w:val="center"/>
              <w:rPr>
                <w:rFonts w:ascii="Times New Roman" w:eastAsia="Times New Roman" w:hAnsi="Times New Roman" w:cs="Times New Roman"/>
                <w:b w:val="0"/>
                <w:bCs w:val="0"/>
                <w:i w:val="0"/>
                <w:iCs w:val="0"/>
                <w:smallCaps w:val="0"/>
                <w:color w:val="000000"/>
                <w:kern w:val="0"/>
                <w:sz w:val="24"/>
                <w:szCs w:val="24"/>
              </w:rPr>
            </w:pPr>
          </w:p>
        </w:tc>
        <w:tc>
          <w:tcPr>
            <w:tcW w:w="20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r>
              <w:rPr>
                <w:rFonts w:ascii="Times New Roman" w:eastAsia="Times New Roman" w:hAnsi="Times New Roman" w:cs="Times New Roman"/>
                <w:b w:val="0"/>
                <w:bCs w:val="0"/>
                <w:i w:val="0"/>
                <w:iCs w:val="0"/>
                <w:smallCaps w:val="0"/>
                <w:color w:val="000000"/>
                <w:kern w:val="0"/>
                <w:sz w:val="24"/>
                <w:szCs w:val="24"/>
              </w:rPr>
              <w:t xml:space="preserve"> </w:t>
            </w:r>
          </w:p>
          <w:p>
            <w:pPr>
              <w:widowControl/>
              <w:ind w:left="15"/>
              <w:jc w:val="center"/>
              <w:rPr>
                <w:rFonts w:ascii="Times New Roman" w:eastAsia="Times New Roman" w:hAnsi="Times New Roman" w:cs="Times New Roman"/>
                <w:b w:val="0"/>
                <w:bCs w:val="0"/>
                <w:i w:val="0"/>
                <w:iCs w:val="0"/>
                <w:smallCaps w:val="0"/>
                <w:color w:val="000000"/>
                <w:kern w:val="0"/>
                <w:sz w:val="24"/>
                <w:szCs w:val="24"/>
              </w:rPr>
            </w:pPr>
          </w:p>
        </w:tc>
        <w:tc>
          <w:tcPr>
            <w:tcW w:w="20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r>
              <w:rPr>
                <w:rFonts w:ascii="Times New Roman" w:eastAsia="Times New Roman" w:hAnsi="Times New Roman" w:cs="Times New Roman"/>
                <w:b w:val="0"/>
                <w:bCs w:val="0"/>
                <w:i w:val="0"/>
                <w:iCs w:val="0"/>
                <w:smallCaps w:val="0"/>
                <w:color w:val="000000"/>
                <w:kern w:val="0"/>
                <w:sz w:val="24"/>
                <w:szCs w:val="24"/>
              </w:rPr>
              <w:t xml:space="preserve"> </w:t>
            </w:r>
          </w:p>
          <w:p>
            <w:pPr>
              <w:widowControl/>
              <w:ind w:left="15"/>
              <w:jc w:val="center"/>
              <w:rPr>
                <w:rFonts w:ascii="Times New Roman" w:eastAsia="Times New Roman" w:hAnsi="Times New Roman" w:cs="Times New Roman"/>
                <w:b w:val="0"/>
                <w:bCs w:val="0"/>
                <w:i w:val="0"/>
                <w:iCs w:val="0"/>
                <w:smallCaps w:val="0"/>
                <w:color w:val="000000"/>
                <w:kern w:val="0"/>
                <w:sz w:val="24"/>
                <w:szCs w:val="24"/>
              </w:rPr>
            </w:pPr>
          </w:p>
        </w:tc>
      </w:tr>
    </w:tbl>
    <w:p>
      <w:pPr>
        <w:spacing w:before="0" w:line="360" w:lineRule="auto"/>
        <w:ind w:left="0" w:right="0"/>
        <w:jc w:val="left"/>
        <w:rPr>
          <w:rFonts w:ascii="Times New Roman" w:eastAsia="Times New Roman" w:hAnsi="Times New Roman" w:cs="Times New Roman"/>
          <w:kern w:val="0"/>
          <w:sz w:val="24"/>
          <w:szCs w:val="24"/>
        </w:rPr>
      </w:pPr>
      <w:r>
        <w:rPr>
          <w:rFonts w:ascii="SimSun" w:eastAsia="SimSun" w:hAnsi="SimSun" w:cs="SimSun"/>
          <w:kern w:val="0"/>
          <w:sz w:val="24"/>
          <w:szCs w:val="24"/>
        </w:rPr>
        <w:t>注：本产品本报告期末未持有股票。</w:t>
      </w:r>
      <w:r>
        <w:rPr>
          <w:rFonts w:ascii="Times New Roman" w:eastAsia="Times New Roman" w:hAnsi="Times New Roman" w:cs="Times New Roman"/>
          <w:kern w:val="0"/>
          <w:sz w:val="24"/>
          <w:szCs w:val="24"/>
        </w:rPr>
        <w:t xml:space="preserve"> </w:t>
      </w:r>
    </w:p>
    <w:p w:rsidR="00AB1E37" w:rsidP="001E621F">
      <w:pPr>
        <w:autoSpaceDE w:val="0"/>
        <w:autoSpaceDN w:val="0"/>
        <w:adjustRightInd w:val="0"/>
        <w:spacing w:before="30" w:line="288" w:lineRule="auto"/>
        <w:ind w:left="15" w:firstLine="482"/>
        <w:jc w:val="left"/>
        <w:rPr>
          <w:rFonts w:ascii="宋体"/>
          <w:noProof/>
          <w:color w:val="000000"/>
          <w:kern w:val="0"/>
          <w:sz w:val="24"/>
          <w:szCs w:val="24"/>
        </w:rPr>
      </w:pPr>
    </w:p>
    <w:p w:rsidR="00AB1E37" w:rsidRPr="001E621F" w:rsidP="001E621F" w14:textId="5C76B383">
      <w:pPr>
        <w:autoSpaceDE w:val="0"/>
        <w:autoSpaceDN w:val="0"/>
        <w:adjustRightInd w:val="0"/>
        <w:spacing w:before="30" w:line="288" w:lineRule="auto"/>
        <w:ind w:left="15"/>
        <w:jc w:val="left"/>
        <w:outlineLvl w:val="1"/>
        <w:rPr>
          <w:rFonts w:ascii="Times New Roman" w:hAnsi="Times New Roman"/>
          <w:b/>
          <w:color w:val="000000"/>
          <w:kern w:val="0"/>
          <w:sz w:val="24"/>
          <w:szCs w:val="24"/>
        </w:rPr>
      </w:pPr>
      <w:bookmarkStart w:id="11" w:name="_Toc256000011"/>
      <w:r w:rsidR="001E621F">
        <w:rPr>
          <w:rFonts w:ascii="Times New Roman" w:hAnsi="Times New Roman"/>
          <w:b/>
          <w:noProof/>
          <w:color w:val="000000"/>
          <w:kern w:val="0"/>
          <w:sz w:val="24"/>
          <w:szCs w:val="24"/>
        </w:rPr>
        <w:t>5.3 报告期末按公允价值占资产净值比例大小排名的前五名债券投资明细</w:t>
      </w:r>
      <w:bookmarkEnd w:id="11"/>
    </w:p>
    <w:p w14:textId="0180F0FA">
      <w:pPr>
        <w:spacing w:before="0" w:after="0" w:line="360" w:lineRule="auto"/>
        <w:ind w:left="0" w:right="0" w:firstLine="420"/>
        <w:jc w:val="right"/>
        <w:rPr>
          <w:rFonts w:ascii="Times New Roman" w:eastAsia="Times New Roman" w:hAnsi="Times New Roman" w:cs="Times New Roman"/>
          <w:kern w:val="0"/>
          <w:sz w:val="24"/>
          <w:szCs w:val="24"/>
        </w:rPr>
      </w:pPr>
      <w:r>
        <w:rPr>
          <w:rFonts w:ascii="SimSun" w:eastAsia="SimSun" w:hAnsi="SimSun" w:cs="SimSun"/>
          <w:kern w:val="0"/>
          <w:sz w:val="24"/>
          <w:szCs w:val="24"/>
        </w:rPr>
        <w:t>金额单位：人民币元</w:t>
      </w:r>
    </w:p>
    <w:tbl>
      <w:tblPr>
        <w:tblW w:w="9070" w:type="dxa"/>
        <w:jc w:val="center"/>
        <w:tblInd w:w="600" w:type="dxa"/>
        <w:tblCellMar>
          <w:top w:w="0" w:type="dxa"/>
          <w:left w:w="0" w:type="dxa"/>
          <w:bottom w:w="0" w:type="dxa"/>
          <w:right w:w="0" w:type="dxa"/>
        </w:tblCellMar>
      </w:tblPr>
      <w:tblGrid>
        <w:gridCol w:w="751"/>
        <w:gridCol w:w="1231"/>
        <w:gridCol w:w="2191"/>
        <w:gridCol w:w="1531"/>
        <w:gridCol w:w="1771"/>
        <w:gridCol w:w="2671"/>
      </w:tblGrid>
      <w:tr>
        <w:tblPrEx>
          <w:tblW w:w="9070" w:type="dxa"/>
          <w:jc w:val="center"/>
          <w:tblInd w:w="600" w:type="dxa"/>
          <w:tblCellMar>
            <w:top w:w="0" w:type="dxa"/>
            <w:left w:w="0" w:type="dxa"/>
            <w:bottom w:w="0" w:type="dxa"/>
            <w:right w:w="0" w:type="dxa"/>
          </w:tblCellMar>
        </w:tblPrEx>
        <w:trPr>
          <w:jc w:val="center"/>
        </w:trPr>
        <w:tc>
          <w:tcPr>
            <w:tcW w:w="600" w:type="pct"/>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序号</w:t>
            </w:r>
          </w:p>
        </w:tc>
        <w:tc>
          <w:tcPr>
            <w:tcW w:w="800" w:type="pct"/>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债券代码</w:t>
            </w:r>
          </w:p>
        </w:tc>
        <w:tc>
          <w:tcPr>
            <w:tcW w:w="1200" w:type="pct"/>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债券名称</w:t>
            </w:r>
          </w:p>
        </w:tc>
        <w:tc>
          <w:tcPr>
            <w:tcW w:w="800" w:type="pct"/>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数量（张）</w:t>
            </w:r>
          </w:p>
        </w:tc>
        <w:tc>
          <w:tcPr>
            <w:tcW w:w="800" w:type="pct"/>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公允价值</w:t>
            </w:r>
          </w:p>
        </w:tc>
        <w:tc>
          <w:tcPr>
            <w:tcW w:w="800" w:type="pct"/>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占资产净值比例（％）</w:t>
            </w:r>
          </w:p>
        </w:tc>
      </w:tr>
      <w:tr>
        <w:tblPrEx>
          <w:tblW w:w="9070" w:type="dxa"/>
          <w:jc w:val="center"/>
          <w:tblInd w:w="600" w:type="dxa"/>
          <w:tblCellMar>
            <w:top w:w="0" w:type="dxa"/>
            <w:left w:w="0" w:type="dxa"/>
            <w:bottom w:w="0" w:type="dxa"/>
            <w:right w:w="0" w:type="dxa"/>
          </w:tblCellMar>
        </w:tblPrEx>
        <w:trPr>
          <w:jc w:val="center"/>
        </w:trPr>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1</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2120013</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21台州银行二级</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2,000,000.00</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217,192,021.86</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2.61</w:t>
            </w:r>
          </w:p>
        </w:tc>
      </w:tr>
      <w:tr>
        <w:tblPrEx>
          <w:tblW w:w="9070" w:type="dxa"/>
          <w:jc w:val="center"/>
          <w:tblInd w:w="600" w:type="dxa"/>
          <w:tblCellMar>
            <w:top w:w="0" w:type="dxa"/>
            <w:left w:w="0" w:type="dxa"/>
            <w:bottom w:w="0" w:type="dxa"/>
            <w:right w:w="0" w:type="dxa"/>
          </w:tblCellMar>
        </w:tblPrEx>
        <w:trPr>
          <w:jc w:val="center"/>
        </w:trPr>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114662</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23嵊经01</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2,000,000.00</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215,531,780.82</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2.59</w:t>
            </w:r>
          </w:p>
        </w:tc>
      </w:tr>
      <w:tr>
        <w:tblPrEx>
          <w:tblW w:w="9070" w:type="dxa"/>
          <w:jc w:val="center"/>
          <w:tblInd w:w="600" w:type="dxa"/>
          <w:tblCellMar>
            <w:top w:w="0" w:type="dxa"/>
            <w:left w:w="0" w:type="dxa"/>
            <w:bottom w:w="0" w:type="dxa"/>
            <w:right w:w="0" w:type="dxa"/>
          </w:tblCellMar>
        </w:tblPrEx>
        <w:trPr>
          <w:jc w:val="center"/>
        </w:trPr>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3</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177820</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21安交01</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2,000,000.00</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211,296,876.72</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2.54</w:t>
            </w:r>
          </w:p>
        </w:tc>
      </w:tr>
      <w:tr>
        <w:tblPrEx>
          <w:tblW w:w="9070" w:type="dxa"/>
          <w:jc w:val="center"/>
          <w:tblInd w:w="600" w:type="dxa"/>
          <w:tblCellMar>
            <w:top w:w="0" w:type="dxa"/>
            <w:left w:w="0" w:type="dxa"/>
            <w:bottom w:w="0" w:type="dxa"/>
            <w:right w:w="0" w:type="dxa"/>
          </w:tblCellMar>
        </w:tblPrEx>
        <w:trPr>
          <w:jc w:val="center"/>
        </w:trPr>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4</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2020033</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20泰隆银行永续债</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2,000,000.00</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208,177,486.34</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2.50</w:t>
            </w:r>
          </w:p>
        </w:tc>
      </w:tr>
      <w:tr>
        <w:tblPrEx>
          <w:tblW w:w="9070" w:type="dxa"/>
          <w:jc w:val="center"/>
          <w:tblInd w:w="600" w:type="dxa"/>
          <w:tblCellMar>
            <w:top w:w="0" w:type="dxa"/>
            <w:left w:w="0" w:type="dxa"/>
            <w:bottom w:w="0" w:type="dxa"/>
            <w:right w:w="0" w:type="dxa"/>
          </w:tblCellMar>
        </w:tblPrEx>
        <w:trPr>
          <w:jc w:val="center"/>
        </w:trPr>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5</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197264</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21浔投03</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2,010,000.00</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206,594,958.90</w:t>
            </w:r>
          </w:p>
        </w:tc>
        <w:tc>
          <w:tcPr>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2.48</w:t>
            </w:r>
          </w:p>
        </w:tc>
      </w:tr>
    </w:tbl>
    <w:p w:rsidR="00AB1E37" w:rsidP="001E621F">
      <w:pPr>
        <w:autoSpaceDE w:val="0"/>
        <w:autoSpaceDN w:val="0"/>
        <w:adjustRightInd w:val="0"/>
        <w:spacing w:before="30" w:line="288" w:lineRule="auto"/>
        <w:ind w:left="15" w:firstLine="482"/>
        <w:jc w:val="left"/>
        <w:rPr>
          <w:rFonts w:ascii="宋体"/>
          <w:noProof/>
          <w:color w:val="000000"/>
          <w:kern w:val="0"/>
          <w:sz w:val="24"/>
          <w:szCs w:val="24"/>
        </w:rPr>
      </w:pPr>
    </w:p>
    <w:p w:rsidR="00AB1E37" w:rsidRPr="001E621F" w:rsidP="001E621F" w14:textId="5C76B383">
      <w:pPr>
        <w:autoSpaceDE w:val="0"/>
        <w:autoSpaceDN w:val="0"/>
        <w:adjustRightInd w:val="0"/>
        <w:spacing w:before="30" w:line="288" w:lineRule="auto"/>
        <w:ind w:left="15"/>
        <w:jc w:val="left"/>
        <w:outlineLvl w:val="1"/>
        <w:rPr>
          <w:rFonts w:ascii="Times New Roman" w:hAnsi="Times New Roman"/>
          <w:b/>
          <w:color w:val="000000"/>
          <w:kern w:val="0"/>
          <w:sz w:val="24"/>
          <w:szCs w:val="24"/>
        </w:rPr>
      </w:pPr>
      <w:bookmarkStart w:id="12" w:name="_Toc256000012"/>
      <w:r w:rsidR="001E621F">
        <w:rPr>
          <w:rFonts w:ascii="Times New Roman" w:hAnsi="Times New Roman"/>
          <w:b/>
          <w:noProof/>
          <w:color w:val="000000"/>
          <w:kern w:val="0"/>
          <w:sz w:val="24"/>
          <w:szCs w:val="24"/>
        </w:rPr>
        <w:t>5.4 报告期末按合约市值大小排名的前五名期货投资明细</w:t>
      </w:r>
      <w:bookmarkEnd w:id="12"/>
    </w:p>
    <w:p w14:textId="0180F0FA">
      <w:pPr>
        <w:spacing w:before="0" w:after="0" w:line="360" w:lineRule="auto"/>
        <w:ind w:left="0" w:right="0" w:firstLine="420"/>
        <w:jc w:val="right"/>
        <w:rPr>
          <w:rFonts w:ascii="Times New Roman" w:eastAsia="Times New Roman" w:hAnsi="Times New Roman" w:cs="Times New Roman"/>
          <w:kern w:val="0"/>
          <w:sz w:val="24"/>
          <w:szCs w:val="24"/>
        </w:rPr>
      </w:pPr>
      <w:r>
        <w:rPr>
          <w:rFonts w:ascii="SimSun" w:eastAsia="SimSun" w:hAnsi="SimSun" w:cs="SimSun"/>
          <w:kern w:val="0"/>
          <w:sz w:val="24"/>
          <w:szCs w:val="24"/>
        </w:rPr>
        <w:t>金额单位：人民币元</w:t>
      </w:r>
    </w:p>
    <w:tbl>
      <w:tblPr>
        <w:tblW w:w="9070" w:type="dxa"/>
        <w:jc w:val="center"/>
        <w:tblInd w:w="600" w:type="dxa"/>
        <w:tblCellMar>
          <w:top w:w="0" w:type="dxa"/>
          <w:left w:w="0" w:type="dxa"/>
          <w:bottom w:w="0" w:type="dxa"/>
          <w:right w:w="0" w:type="dxa"/>
        </w:tblCellMar>
      </w:tblPr>
      <w:tblGrid>
        <w:gridCol w:w="991"/>
        <w:gridCol w:w="1365"/>
        <w:gridCol w:w="2238"/>
        <w:gridCol w:w="2238"/>
        <w:gridCol w:w="2238"/>
      </w:tblGrid>
      <w:tr>
        <w:tblPrEx>
          <w:tblW w:w="9070" w:type="dxa"/>
          <w:jc w:val="center"/>
          <w:tblInd w:w="600" w:type="dxa"/>
          <w:tblCellMar>
            <w:top w:w="0" w:type="dxa"/>
            <w:left w:w="0" w:type="dxa"/>
            <w:bottom w:w="0" w:type="dxa"/>
            <w:right w:w="0" w:type="dxa"/>
          </w:tblCellMar>
        </w:tblPrEx>
        <w:trPr>
          <w:jc w:val="center"/>
        </w:trPr>
        <w:tc>
          <w:tcPr>
            <w:tcW w:w="1661"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代码</w:t>
            </w:r>
          </w:p>
        </w:tc>
        <w:tc>
          <w:tcPr>
            <w:tcW w:w="2383"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名称</w:t>
            </w:r>
          </w:p>
        </w:tc>
        <w:tc>
          <w:tcPr>
            <w:tcW w:w="20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持仓量（手）</w:t>
            </w:r>
            <w:r>
              <w:rPr>
                <w:rFonts w:ascii="Times New Roman" w:eastAsia="Times New Roman" w:hAnsi="Times New Roman" w:cs="Times New Roman"/>
                <w:b w:val="0"/>
                <w:bCs w:val="0"/>
                <w:i w:val="0"/>
                <w:iCs w:val="0"/>
                <w:smallCaps w:val="0"/>
                <w:color w:val="000000"/>
                <w:kern w:val="0"/>
                <w:sz w:val="24"/>
                <w:szCs w:val="24"/>
              </w:rPr>
              <w:t xml:space="preserve"> </w:t>
            </w:r>
            <w:r>
              <w:rPr>
                <w:rFonts w:ascii="Times New Roman" w:eastAsia="Times New Roman" w:hAnsi="Times New Roman" w:cs="Times New Roman"/>
                <w:b w:val="0"/>
                <w:bCs w:val="0"/>
                <w:i w:val="0"/>
                <w:iCs w:val="0"/>
                <w:smallCaps w:val="0"/>
                <w:color w:val="000000"/>
                <w:kern w:val="0"/>
                <w:sz w:val="24"/>
                <w:szCs w:val="24"/>
              </w:rPr>
              <w:br/>
            </w:r>
            <w:r>
              <w:rPr>
                <w:rFonts w:ascii="SimSun" w:eastAsia="SimSun" w:hAnsi="SimSun" w:cs="SimSun"/>
                <w:b w:val="0"/>
                <w:bCs w:val="0"/>
                <w:i w:val="0"/>
                <w:iCs w:val="0"/>
                <w:smallCaps w:val="0"/>
                <w:color w:val="000000"/>
                <w:kern w:val="0"/>
                <w:sz w:val="24"/>
                <w:szCs w:val="24"/>
              </w:rPr>
              <w:t>（买/卖）</w:t>
            </w:r>
          </w:p>
        </w:tc>
        <w:tc>
          <w:tcPr>
            <w:tcW w:w="20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合约市值</w:t>
            </w:r>
          </w:p>
        </w:tc>
        <w:tc>
          <w:tcPr>
            <w:tcW w:w="20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公允价值变动</w:t>
            </w:r>
          </w:p>
        </w:tc>
      </w:tr>
      <w:tr>
        <w:tblPrEx>
          <w:tblW w:w="9070" w:type="dxa"/>
          <w:jc w:val="center"/>
          <w:tblInd w:w="600" w:type="dxa"/>
          <w:tblCellMar>
            <w:top w:w="0" w:type="dxa"/>
            <w:left w:w="0" w:type="dxa"/>
            <w:bottom w:w="0" w:type="dxa"/>
            <w:right w:w="0" w:type="dxa"/>
          </w:tblCellMar>
        </w:tblPrEx>
        <w:trPr>
          <w:jc w:val="center"/>
        </w:trPr>
        <w:tc>
          <w:tcPr>
            <w:tcW w:w="1661"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c>
          <w:tcPr>
            <w:tcW w:w="2383"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w:t>
            </w:r>
          </w:p>
        </w:tc>
        <w:tc>
          <w:tcPr>
            <w:tcW w:w="20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c>
          <w:tcPr>
            <w:tcW w:w="20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c>
          <w:tcPr>
            <w:tcW w:w="2022"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r>
    </w:tbl>
    <w:p>
      <w:pPr>
        <w:spacing w:before="0" w:after="0" w:line="360" w:lineRule="auto"/>
        <w:ind w:left="0" w:right="0"/>
        <w:jc w:val="left"/>
        <w:rPr>
          <w:rFonts w:ascii="Times New Roman" w:eastAsia="Times New Roman" w:hAnsi="Times New Roman" w:cs="Times New Roman"/>
          <w:kern w:val="0"/>
          <w:sz w:val="24"/>
          <w:szCs w:val="24"/>
        </w:rPr>
      </w:pPr>
      <w:r>
        <w:rPr>
          <w:rFonts w:ascii="SimSun" w:eastAsia="SimSun" w:hAnsi="SimSun" w:cs="SimSun"/>
          <w:kern w:val="0"/>
          <w:sz w:val="24"/>
          <w:szCs w:val="24"/>
        </w:rPr>
        <w:t>注：本产品本报告期末未持有期货。</w:t>
      </w:r>
    </w:p>
    <w:p w:rsidR="00AB1E37" w:rsidP="001E621F">
      <w:pPr>
        <w:autoSpaceDE w:val="0"/>
        <w:autoSpaceDN w:val="0"/>
        <w:adjustRightInd w:val="0"/>
        <w:spacing w:before="30" w:line="288" w:lineRule="auto"/>
        <w:ind w:left="15" w:firstLine="482"/>
        <w:jc w:val="left"/>
        <w:rPr>
          <w:rFonts w:ascii="宋体"/>
          <w:noProof/>
          <w:color w:val="000000"/>
          <w:kern w:val="0"/>
          <w:sz w:val="24"/>
          <w:szCs w:val="24"/>
        </w:rPr>
      </w:pPr>
    </w:p>
    <w:p w:rsidR="00AB1E37" w:rsidRPr="001E621F" w:rsidP="001E621F" w14:textId="5C76B383">
      <w:pPr>
        <w:autoSpaceDE w:val="0"/>
        <w:autoSpaceDN w:val="0"/>
        <w:adjustRightInd w:val="0"/>
        <w:spacing w:before="30" w:line="288" w:lineRule="auto"/>
        <w:ind w:left="15"/>
        <w:jc w:val="left"/>
        <w:outlineLvl w:val="1"/>
        <w:rPr>
          <w:rFonts w:ascii="Times New Roman" w:hAnsi="Times New Roman"/>
          <w:b/>
          <w:color w:val="000000"/>
          <w:kern w:val="0"/>
          <w:sz w:val="24"/>
          <w:szCs w:val="24"/>
        </w:rPr>
      </w:pPr>
      <w:bookmarkStart w:id="13" w:name="_Toc256000013"/>
      <w:r w:rsidR="001E621F">
        <w:rPr>
          <w:rFonts w:ascii="Times New Roman" w:hAnsi="Times New Roman"/>
          <w:b/>
          <w:noProof/>
          <w:color w:val="000000"/>
          <w:kern w:val="0"/>
          <w:sz w:val="24"/>
          <w:szCs w:val="24"/>
        </w:rPr>
        <w:t>5.5  报告期末按公允价值占资产净值比例大小排名的前五名基金投资明细</w:t>
      </w:r>
      <w:bookmarkEnd w:id="13"/>
    </w:p>
    <w:p w14:textId="0180F0FA">
      <w:pPr>
        <w:spacing w:before="0" w:after="0" w:line="360" w:lineRule="auto"/>
        <w:ind w:left="0" w:right="0" w:firstLine="420"/>
        <w:jc w:val="right"/>
        <w:rPr>
          <w:rFonts w:ascii="Times New Roman" w:eastAsia="Times New Roman" w:hAnsi="Times New Roman" w:cs="Times New Roman"/>
          <w:kern w:val="0"/>
          <w:sz w:val="24"/>
          <w:szCs w:val="24"/>
        </w:rPr>
      </w:pPr>
      <w:r>
        <w:rPr>
          <w:rFonts w:ascii="SimSun" w:eastAsia="SimSun" w:hAnsi="SimSun" w:cs="SimSun"/>
          <w:kern w:val="0"/>
          <w:sz w:val="24"/>
          <w:szCs w:val="24"/>
        </w:rPr>
        <w:t>金额单位：人民币元</w:t>
      </w:r>
    </w:p>
    <w:tbl>
      <w:tblPr>
        <w:tblW w:w="9070" w:type="dxa"/>
        <w:jc w:val="center"/>
        <w:tblInd w:w="600" w:type="dxa"/>
        <w:tblCellMar>
          <w:top w:w="0" w:type="dxa"/>
          <w:left w:w="0" w:type="dxa"/>
          <w:bottom w:w="0" w:type="dxa"/>
          <w:right w:w="0" w:type="dxa"/>
        </w:tblCellMar>
      </w:tblPr>
      <w:tblGrid>
        <w:gridCol w:w="823"/>
        <w:gridCol w:w="1294"/>
        <w:gridCol w:w="1424"/>
        <w:gridCol w:w="1529"/>
        <w:gridCol w:w="1294"/>
        <w:gridCol w:w="2707"/>
      </w:tblGrid>
      <w:tr>
        <w:tblPrEx>
          <w:tblW w:w="9070" w:type="dxa"/>
          <w:jc w:val="center"/>
          <w:tblInd w:w="600" w:type="dxa"/>
          <w:tblCellMar>
            <w:top w:w="0" w:type="dxa"/>
            <w:left w:w="0" w:type="dxa"/>
            <w:bottom w:w="0" w:type="dxa"/>
            <w:right w:w="0" w:type="dxa"/>
          </w:tblCellMar>
        </w:tblPrEx>
        <w:trPr>
          <w:jc w:val="center"/>
        </w:trPr>
        <w:tc>
          <w:tcPr>
            <w:tcW w:w="2995"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spacing w:before="30" w:after="0" w:line="288" w:lineRule="auto"/>
              <w:ind w:left="15" w:right="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序号</w:t>
            </w:r>
          </w:p>
        </w:tc>
        <w:tc>
          <w:tcPr>
            <w:tcW w:w="4195"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基金代码</w:t>
            </w:r>
          </w:p>
        </w:tc>
        <w:tc>
          <w:tcPr>
            <w:tcW w:w="11416"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基金名称</w:t>
            </w:r>
          </w:p>
        </w:tc>
        <w:tc>
          <w:tcPr>
            <w:tcW w:w="4195"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数量（份）</w:t>
            </w:r>
          </w:p>
        </w:tc>
        <w:tc>
          <w:tcPr>
            <w:tcW w:w="4395"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公允价值</w:t>
            </w:r>
          </w:p>
        </w:tc>
        <w:tc>
          <w:tcPr>
            <w:tcW w:w="4395"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占资产净值比例（％）</w:t>
            </w:r>
          </w:p>
        </w:tc>
      </w:tr>
      <w:tr>
        <w:tblPrEx>
          <w:tblW w:w="9070" w:type="dxa"/>
          <w:jc w:val="center"/>
          <w:tblInd w:w="600" w:type="dxa"/>
          <w:tblCellMar>
            <w:top w:w="0" w:type="dxa"/>
            <w:left w:w="0" w:type="dxa"/>
            <w:bottom w:w="0" w:type="dxa"/>
            <w:right w:w="0" w:type="dxa"/>
          </w:tblCellMar>
        </w:tblPrEx>
        <w:trPr>
          <w:jc w:val="center"/>
        </w:trPr>
        <w:tc>
          <w:tcPr>
            <w:tcW w:w="4395"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c>
          <w:tcPr>
            <w:tcW w:w="4395"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w:t>
            </w:r>
          </w:p>
        </w:tc>
        <w:tc>
          <w:tcPr>
            <w:tcW w:w="4395"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w:t>
            </w:r>
          </w:p>
        </w:tc>
        <w:tc>
          <w:tcPr>
            <w:tcW w:w="4395"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c>
          <w:tcPr>
            <w:tcW w:w="4395"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c>
          <w:tcPr>
            <w:tcW w:w="4395" w:type="dxa"/>
            <w:tcBorders>
              <w:top w:val="single" w:sz="8" w:space="0" w:color="000000"/>
              <w:left w:val="single" w:sz="8" w:space="0" w:color="000000"/>
              <w:bottom w:val="single" w:sz="8" w:space="0" w:color="000000"/>
              <w:right w:val="single" w:sz="8" w:space="0" w:color="000000"/>
            </w:tcBorders>
            <w:noWrap w:val="0"/>
            <w:tcMar>
              <w:top w:w="0" w:type="dxa"/>
              <w:left w:w="108" w:type="dxa"/>
              <w:bottom w:w="0" w:type="dxa"/>
              <w:right w:w="108" w:type="dxa"/>
            </w:tcMar>
            <w:vAlign w:val="center"/>
            <w:hideMark/>
          </w:tcPr>
          <w:p>
            <w:pPr>
              <w:widowControl/>
              <w:ind w:left="15"/>
              <w:jc w:val="center"/>
              <w:rPr>
                <w:rFonts w:ascii="Times New Roman" w:eastAsia="Times New Roman" w:hAnsi="Times New Roman" w:cs="Times New Roman"/>
                <w:b w:val="0"/>
                <w:bCs w:val="0"/>
                <w:i w:val="0"/>
                <w:iCs w:val="0"/>
                <w:smallCaps w:val="0"/>
                <w:color w:val="000000"/>
                <w:kern w:val="0"/>
                <w:sz w:val="24"/>
                <w:szCs w:val="24"/>
              </w:rPr>
            </w:pPr>
            <w:r>
              <w:rPr>
                <w:rFonts w:ascii="Times New Roman" w:eastAsia="Times New Roman" w:hAnsi="Times New Roman"/>
                <w:b w:val="0"/>
                <w:bCs w:val="0"/>
                <w:i w:val="0"/>
                <w:iCs w:val="0"/>
                <w:smallCaps w:val="0"/>
                <w:color w:val="000000"/>
                <w:kern w:val="0"/>
                <w:sz w:val="24"/>
                <w:szCs w:val="24"/>
              </w:rPr>
              <w:t>-</w:t>
            </w:r>
          </w:p>
        </w:tc>
      </w:tr>
    </w:tbl>
    <w:p>
      <w:pPr>
        <w:spacing w:before="0" w:after="0" w:line="360" w:lineRule="auto"/>
        <w:ind w:left="0" w:right="0"/>
        <w:jc w:val="left"/>
        <w:rPr>
          <w:rFonts w:ascii="Times New Roman" w:eastAsia="Times New Roman" w:hAnsi="Times New Roman" w:cs="Times New Roman"/>
          <w:kern w:val="0"/>
          <w:sz w:val="24"/>
          <w:szCs w:val="24"/>
        </w:rPr>
      </w:pPr>
      <w:r>
        <w:rPr>
          <w:rFonts w:ascii="SimSun" w:eastAsia="SimSun" w:hAnsi="SimSun" w:cs="SimSun"/>
          <w:kern w:val="0"/>
          <w:sz w:val="24"/>
          <w:szCs w:val="24"/>
        </w:rPr>
        <w:t>注：本产品本报告期末未持有基金。</w:t>
      </w:r>
    </w:p>
    <w:p w:rsidR="00AB1E37" w:rsidP="001E621F">
      <w:pPr>
        <w:autoSpaceDE w:val="0"/>
        <w:autoSpaceDN w:val="0"/>
        <w:adjustRightInd w:val="0"/>
        <w:spacing w:before="30" w:line="288" w:lineRule="auto"/>
        <w:ind w:left="15" w:firstLine="482"/>
        <w:jc w:val="left"/>
        <w:rPr>
          <w:rFonts w:ascii="宋体"/>
          <w:noProof/>
          <w:color w:val="000000"/>
          <w:kern w:val="0"/>
          <w:sz w:val="24"/>
          <w:szCs w:val="24"/>
        </w:rPr>
      </w:pPr>
    </w:p>
    <w:p w:rsidR="001E621F" w:rsidRPr="001E621F" w:rsidP="00C32C5C" w14:textId="0C7B063A">
      <w:pPr>
        <w:autoSpaceDE w:val="0"/>
        <w:autoSpaceDN w:val="0"/>
        <w:adjustRightInd w:val="0"/>
        <w:spacing w:before="30" w:line="288" w:lineRule="auto"/>
        <w:jc w:val="center"/>
        <w:outlineLvl w:val="0"/>
        <w:rPr>
          <w:rFonts w:ascii="Times New Roman" w:hAnsi="Times New Roman"/>
          <w:b/>
          <w:color w:val="000000"/>
          <w:kern w:val="0"/>
          <w:sz w:val="24"/>
          <w:szCs w:val="24"/>
        </w:rPr>
      </w:pPr>
      <w:bookmarkStart w:id="14" w:name="_Toc256000014"/>
      <w:r>
        <w:rPr>
          <w:rFonts w:ascii="Times New Roman" w:hAnsi="Times New Roman"/>
          <w:b/>
          <w:noProof/>
          <w:color w:val="000000"/>
          <w:kern w:val="0"/>
          <w:sz w:val="24"/>
          <w:szCs w:val="24"/>
        </w:rPr>
        <w:t xml:space="preserve">§6 </w:t>
      </w:r>
      <w:r>
        <w:rPr>
          <w:rFonts w:ascii="Times New Roman" w:hAnsi="Times New Roman"/>
          <w:b/>
          <w:noProof/>
          <w:color w:val="000000"/>
          <w:kern w:val="0"/>
          <w:sz w:val="24"/>
          <w:szCs w:val="24"/>
        </w:rPr>
        <w:t>费用计提方法、计提标准和支付方式</w:t>
      </w:r>
      <w:bookmarkEnd w:id="14"/>
    </w:p>
    <w:tbl>
      <w:tblPr>
        <w:tblStyle w:val="table"/>
        <w:tblW w:w="5000" w:type="pct"/>
        <w:jc w:val="center"/>
        <w:tblInd w:w="108"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Look w:val="05E0"/>
      </w:tblPr>
      <w:tblGrid>
        <w:gridCol w:w="9070"/>
      </w:tblGrid>
      <w:tr>
        <w:tblPrEx>
          <w:tblW w:w="5000" w:type="pct"/>
          <w:jc w:val="center"/>
          <w:tblInd w:w="108"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Look w:val="05E0"/>
        </w:tblPrEx>
        <w:trPr>
          <w:jc w:val="center"/>
        </w:trPr>
        <w:tc>
          <w:tcPr>
            <w:tcW w:w="9040"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固定管理费 </w:t>
            </w:r>
          </w:p>
        </w:tc>
      </w:tr>
      <w:tr>
        <w:tblPrEx>
          <w:tblW w:w="5000" w:type="pct"/>
          <w:jc w:val="center"/>
          <w:tblInd w:w="108" w:type="dxa"/>
          <w:tblCellMar>
            <w:top w:w="0" w:type="dxa"/>
            <w:left w:w="0" w:type="dxa"/>
            <w:bottom w:w="0" w:type="dxa"/>
            <w:right w:w="0" w:type="dxa"/>
          </w:tblCellMar>
          <w:tblLook w:val="05E0"/>
        </w:tblPrEx>
        <w:trPr>
          <w:jc w:val="center"/>
        </w:trPr>
        <w:tc>
          <w:tcPr>
            <w:tcW w:w="9030"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top"/>
            <w:hideMark/>
          </w:tcPr>
          <w:p>
            <w:pPr>
              <w:pStyle w:val="div"/>
              <w:widowControl/>
              <w:pBdr>
                <w:top w:val="none" w:sz="0" w:space="0" w:color="auto"/>
                <w:left w:val="none" w:sz="0" w:space="0" w:color="auto"/>
                <w:bottom w:val="none" w:sz="0" w:space="0" w:color="auto"/>
                <w:right w:val="none" w:sz="0" w:space="0" w:color="auto"/>
              </w:pBdr>
              <w:spacing w:before="0" w:after="0" w:line="360" w:lineRule="auto"/>
              <w:ind w:left="0" w:right="0" w:firstLine="44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2"/>
              </w:rPr>
              <w:t>“计划财产的年固定管理费率为【</w:t>
            </w:r>
            <w:r>
              <w:rPr>
                <w:rFonts w:ascii="SimSun" w:eastAsia="SimSun" w:hAnsi="SimSun" w:cs="SimSun"/>
                <w:b w:val="0"/>
                <w:bCs w:val="0"/>
                <w:i w:val="0"/>
                <w:iCs w:val="0"/>
                <w:smallCaps w:val="0"/>
                <w:color w:val="000000"/>
                <w:kern w:val="0"/>
                <w:sz w:val="22"/>
                <w:lang w:eastAsia="en-US"/>
              </w:rPr>
              <w:t>0.08</w:t>
            </w:r>
            <w:r>
              <w:rPr>
                <w:rFonts w:ascii="SimSun" w:eastAsia="SimSun" w:hAnsi="SimSun" w:cs="SimSun"/>
                <w:b w:val="0"/>
                <w:bCs w:val="0"/>
                <w:i w:val="0"/>
                <w:iCs w:val="0"/>
                <w:smallCaps w:val="0"/>
                <w:color w:val="000000"/>
                <w:kern w:val="0"/>
                <w:sz w:val="22"/>
              </w:rPr>
              <w:t>】</w:t>
            </w:r>
            <w:r>
              <w:rPr>
                <w:rFonts w:ascii="SimSun" w:eastAsia="SimSun" w:hAnsi="SimSun" w:cs="SimSun"/>
                <w:b w:val="0"/>
                <w:bCs w:val="0"/>
                <w:i w:val="0"/>
                <w:iCs w:val="0"/>
                <w:smallCaps w:val="0"/>
                <w:color w:val="000000"/>
                <w:kern w:val="0"/>
                <w:sz w:val="22"/>
                <w:lang w:eastAsia="en-US"/>
              </w:rPr>
              <w:t>%</w:t>
            </w:r>
            <w:r>
              <w:rPr>
                <w:rFonts w:ascii="SimSun" w:eastAsia="SimSun" w:hAnsi="SimSun" w:cs="SimSun"/>
                <w:b w:val="0"/>
                <w:bCs w:val="0"/>
                <w:i w:val="0"/>
                <w:iCs w:val="0"/>
                <w:smallCaps w:val="0"/>
                <w:color w:val="000000"/>
                <w:kern w:val="0"/>
                <w:sz w:val="22"/>
              </w:rPr>
              <w:t>，计算方法如下：</w:t>
            </w:r>
          </w:p>
          <w:p>
            <w:pPr>
              <w:pStyle w:val="div"/>
              <w:widowControl/>
              <w:pBdr>
                <w:top w:val="none" w:sz="0" w:space="0" w:color="auto"/>
                <w:left w:val="none" w:sz="0" w:space="0" w:color="auto"/>
                <w:bottom w:val="none" w:sz="0" w:space="0" w:color="auto"/>
                <w:right w:val="none" w:sz="0" w:space="0" w:color="auto"/>
              </w:pBdr>
              <w:spacing w:before="0" w:after="0" w:line="360" w:lineRule="auto"/>
              <w:ind w:left="0" w:right="0" w:firstLine="44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2"/>
              </w:rPr>
              <w:t>日固定管理费＝前一日资产净值×年固定管理费率÷</w:t>
            </w:r>
            <w:r>
              <w:rPr>
                <w:rFonts w:ascii="SimSun" w:eastAsia="SimSun" w:hAnsi="SimSun" w:cs="SimSun"/>
                <w:b w:val="0"/>
                <w:bCs w:val="0"/>
                <w:i w:val="0"/>
                <w:iCs w:val="0"/>
                <w:smallCaps w:val="0"/>
                <w:color w:val="000000"/>
                <w:kern w:val="0"/>
                <w:sz w:val="22"/>
                <w:lang w:eastAsia="en-US"/>
              </w:rPr>
              <w:t>365</w:t>
            </w:r>
            <w:r>
              <w:rPr>
                <w:rFonts w:ascii="SimSun" w:eastAsia="SimSun" w:hAnsi="SimSun" w:cs="SimSun"/>
                <w:b w:val="0"/>
                <w:bCs w:val="0"/>
                <w:i w:val="0"/>
                <w:iCs w:val="0"/>
                <w:smallCaps w:val="0"/>
                <w:color w:val="000000"/>
                <w:kern w:val="0"/>
                <w:sz w:val="22"/>
              </w:rPr>
              <w:t>天</w:t>
            </w:r>
          </w:p>
          <w:p>
            <w:pPr>
              <w:pStyle w:val="div"/>
              <w:widowControl/>
              <w:pBdr>
                <w:top w:val="none" w:sz="0" w:space="0" w:color="auto"/>
                <w:left w:val="none" w:sz="0" w:space="0" w:color="auto"/>
                <w:bottom w:val="none" w:sz="0" w:space="0" w:color="auto"/>
                <w:right w:val="none" w:sz="0" w:space="0" w:color="auto"/>
              </w:pBdr>
              <w:spacing w:before="0" w:after="0" w:line="360" w:lineRule="auto"/>
              <w:ind w:left="0" w:right="0" w:firstLine="44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2"/>
              </w:rPr>
              <w:t>自《创金合信湖州银行</w:t>
            </w:r>
            <w:r>
              <w:rPr>
                <w:rFonts w:ascii="SimSun" w:eastAsia="SimSun" w:hAnsi="SimSun" w:cs="SimSun"/>
                <w:b w:val="0"/>
                <w:bCs w:val="0"/>
                <w:i w:val="0"/>
                <w:iCs w:val="0"/>
                <w:smallCaps w:val="0"/>
                <w:color w:val="000000"/>
                <w:kern w:val="0"/>
                <w:sz w:val="22"/>
                <w:lang w:eastAsia="en-US"/>
              </w:rPr>
              <w:t>1</w:t>
            </w:r>
            <w:r>
              <w:rPr>
                <w:rFonts w:ascii="SimSun" w:eastAsia="SimSun" w:hAnsi="SimSun" w:cs="SimSun"/>
                <w:b w:val="0"/>
                <w:bCs w:val="0"/>
                <w:i w:val="0"/>
                <w:iCs w:val="0"/>
                <w:smallCaps w:val="0"/>
                <w:color w:val="000000"/>
                <w:kern w:val="0"/>
                <w:sz w:val="22"/>
              </w:rPr>
              <w:t>号单一资产管理计划资产管理合同之补充协议</w:t>
            </w:r>
            <w:r>
              <w:rPr>
                <w:rFonts w:ascii="SimSun" w:eastAsia="SimSun" w:hAnsi="SimSun" w:cs="SimSun"/>
                <w:b w:val="0"/>
                <w:bCs w:val="0"/>
                <w:i w:val="0"/>
                <w:iCs w:val="0"/>
                <w:smallCaps w:val="0"/>
                <w:color w:val="000000"/>
                <w:kern w:val="0"/>
                <w:sz w:val="22"/>
                <w:lang w:eastAsia="en-US"/>
              </w:rPr>
              <w:t>7</w:t>
            </w:r>
            <w:r>
              <w:rPr>
                <w:rFonts w:ascii="SimSun" w:eastAsia="SimSun" w:hAnsi="SimSun" w:cs="SimSun"/>
                <w:b w:val="0"/>
                <w:bCs w:val="0"/>
                <w:i w:val="0"/>
                <w:iCs w:val="0"/>
                <w:smallCaps w:val="0"/>
                <w:color w:val="000000"/>
                <w:kern w:val="0"/>
                <w:sz w:val="22"/>
              </w:rPr>
              <w:t>》（以下简称“补充协议</w:t>
            </w:r>
            <w:r>
              <w:rPr>
                <w:rFonts w:ascii="SimSun" w:eastAsia="SimSun" w:hAnsi="SimSun" w:cs="SimSun"/>
                <w:b w:val="0"/>
                <w:bCs w:val="0"/>
                <w:i w:val="0"/>
                <w:iCs w:val="0"/>
                <w:smallCaps w:val="0"/>
                <w:color w:val="000000"/>
                <w:kern w:val="0"/>
                <w:sz w:val="22"/>
                <w:lang w:eastAsia="en-US"/>
              </w:rPr>
              <w:t>7</w:t>
            </w:r>
            <w:r>
              <w:rPr>
                <w:rFonts w:ascii="SimSun" w:eastAsia="SimSun" w:hAnsi="SimSun" w:cs="SimSun"/>
                <w:b w:val="0"/>
                <w:bCs w:val="0"/>
                <w:i w:val="0"/>
                <w:iCs w:val="0"/>
                <w:smallCaps w:val="0"/>
                <w:color w:val="000000"/>
                <w:kern w:val="0"/>
                <w:sz w:val="22"/>
              </w:rPr>
              <w:t>”）生效日（含）后按照上述费率每日计提，按自然季度支付。补充协议</w:t>
            </w:r>
            <w:r>
              <w:rPr>
                <w:rFonts w:ascii="SimSun" w:eastAsia="SimSun" w:hAnsi="SimSun" w:cs="SimSun"/>
                <w:b w:val="0"/>
                <w:bCs w:val="0"/>
                <w:i w:val="0"/>
                <w:iCs w:val="0"/>
                <w:smallCaps w:val="0"/>
                <w:color w:val="000000"/>
                <w:kern w:val="0"/>
                <w:sz w:val="22"/>
                <w:lang w:eastAsia="en-US"/>
              </w:rPr>
              <w:t>7</w:t>
            </w:r>
            <w:r>
              <w:rPr>
                <w:rFonts w:ascii="SimSun" w:eastAsia="SimSun" w:hAnsi="SimSun" w:cs="SimSun"/>
                <w:b w:val="0"/>
                <w:bCs w:val="0"/>
                <w:i w:val="0"/>
                <w:iCs w:val="0"/>
                <w:smallCaps w:val="0"/>
                <w:color w:val="000000"/>
                <w:kern w:val="0"/>
                <w:sz w:val="22"/>
              </w:rPr>
              <w:t>生效日（不含）前已计提未支付的管理费在最近的费用支付日一并支付给管理人。本计划固定管理费经资产管理人和资产托管人核对后，由管理人向托管人发送管理费划付指令，由资产托管人于下季度初五个工作日内自行从计划财产中支付给资产管理人。”</w:t>
            </w:r>
          </w:p>
          <w:p>
            <w:pPr>
              <w:pStyle w:val="p"/>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p>
          <w:p>
            <w:pPr>
              <w:pStyle w:val="p"/>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p>
        </w:tc>
      </w:tr>
    </w:tbl>
    <w:p w14:textId="77777777">
      <w:pPr>
        <w:pStyle w:val="p"/>
        <w:widowControl/>
        <w:spacing w:before="0" w:after="0"/>
        <w:ind w:left="108" w:right="0"/>
        <w:jc w:val="left"/>
        <w:rPr>
          <w:rFonts w:ascii="Times New Roman" w:eastAsia="Times New Roman" w:hAnsi="Times New Roman" w:cs="Times New Roman"/>
          <w:kern w:val="0"/>
          <w:sz w:val="24"/>
          <w:szCs w:val="24"/>
        </w:rPr>
      </w:pPr>
    </w:p>
    <w:tbl>
      <w:tblPr>
        <w:tblStyle w:val="table"/>
        <w:tblW w:w="5000" w:type="pct"/>
        <w:jc w:val="center"/>
        <w:tblInd w:w="108"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Look w:val="05E0"/>
      </w:tblPr>
      <w:tblGrid>
        <w:gridCol w:w="8942"/>
      </w:tblGrid>
      <w:tr>
        <w:tblPrEx>
          <w:tblW w:w="5000" w:type="pct"/>
          <w:jc w:val="center"/>
          <w:tblInd w:w="108"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Look w:val="05E0"/>
        </w:tblPrEx>
        <w:trPr>
          <w:jc w:val="center"/>
        </w:trPr>
        <w:tc>
          <w:tcPr>
            <w:tcW w:w="9040"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浮动管理费 </w:t>
            </w:r>
          </w:p>
        </w:tc>
      </w:tr>
      <w:tr>
        <w:tblPrEx>
          <w:tblW w:w="5000" w:type="pct"/>
          <w:jc w:val="center"/>
          <w:tblInd w:w="108" w:type="dxa"/>
          <w:tblCellMar>
            <w:top w:w="0" w:type="dxa"/>
            <w:left w:w="0" w:type="dxa"/>
            <w:bottom w:w="0" w:type="dxa"/>
            <w:right w:w="0" w:type="dxa"/>
          </w:tblCellMar>
          <w:tblLook w:val="05E0"/>
        </w:tblPrEx>
        <w:trPr>
          <w:jc w:val="center"/>
        </w:trPr>
        <w:tc>
          <w:tcPr>
            <w:tcW w:w="9030"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top"/>
          </w:tcPr>
          <w:p>
            <w:pPr>
              <w:pStyle w:val="p"/>
              <w:widowControl/>
              <w:spacing w:before="0" w:after="0"/>
              <w:ind w:left="0" w:right="0" w:firstLine="440"/>
              <w:jc w:val="left"/>
              <w:rPr>
                <w:rFonts w:ascii="Times New Roman" w:eastAsia="Times New Roman" w:hAnsi="Times New Roman" w:cs="Times New Roman"/>
                <w:b w:val="0"/>
                <w:bCs w:val="0"/>
                <w:i w:val="0"/>
                <w:iCs w:val="0"/>
                <w:smallCaps w:val="0"/>
                <w:color w:val="000000"/>
                <w:kern w:val="0"/>
                <w:sz w:val="24"/>
                <w:szCs w:val="24"/>
              </w:rPr>
            </w:pPr>
          </w:p>
        </w:tc>
      </w:tr>
    </w:tbl>
    <w:p>
      <w:pPr>
        <w:pStyle w:val="p"/>
        <w:widowControl/>
        <w:spacing w:before="0" w:after="0"/>
        <w:ind w:left="108" w:right="0"/>
        <w:jc w:val="left"/>
        <w:rPr>
          <w:rFonts w:ascii="Times New Roman" w:eastAsia="Times New Roman" w:hAnsi="Times New Roman" w:cs="Times New Roman"/>
          <w:kern w:val="0"/>
          <w:sz w:val="24"/>
          <w:szCs w:val="24"/>
        </w:rPr>
      </w:pPr>
    </w:p>
    <w:tbl>
      <w:tblPr>
        <w:tblStyle w:val="table"/>
        <w:tblW w:w="5000" w:type="pct"/>
        <w:jc w:val="center"/>
        <w:tblInd w:w="108"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Look w:val="05E0"/>
      </w:tblPr>
      <w:tblGrid>
        <w:gridCol w:w="9070"/>
      </w:tblGrid>
      <w:tr>
        <w:tblPrEx>
          <w:tblW w:w="5000" w:type="pct"/>
          <w:jc w:val="center"/>
          <w:tblInd w:w="108"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Look w:val="05E0"/>
        </w:tblPrEx>
        <w:trPr>
          <w:jc w:val="center"/>
        </w:trPr>
        <w:tc>
          <w:tcPr>
            <w:tcW w:w="9040"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托管费 </w:t>
            </w:r>
          </w:p>
        </w:tc>
      </w:tr>
      <w:tr>
        <w:tblPrEx>
          <w:tblW w:w="5000" w:type="pct"/>
          <w:jc w:val="center"/>
          <w:tblInd w:w="108" w:type="dxa"/>
          <w:tblCellMar>
            <w:top w:w="0" w:type="dxa"/>
            <w:left w:w="0" w:type="dxa"/>
            <w:bottom w:w="0" w:type="dxa"/>
            <w:right w:w="0" w:type="dxa"/>
          </w:tblCellMar>
          <w:tblLook w:val="05E0"/>
        </w:tblPrEx>
        <w:trPr>
          <w:jc w:val="center"/>
        </w:trPr>
        <w:tc>
          <w:tcPr>
            <w:tcW w:w="9030"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top"/>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委托财产的年托管费率为【0.01】%，自委托财产运作起始日（含）起计算，计算方法如下：</w:t>
            </w:r>
          </w:p>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日托管费＝前一日资产净值×年托管费率÷365天</w:t>
            </w:r>
          </w:p>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委托财产托管费自委托财产运作起始日起，每日计提，按自然季支付。经资产管理人和资产托管人核对后，由管理人向托管人发送托管费划付指令，由资产托管人于下季度初五个工作日内自行从委托财产中支付给资产托管人。</w:t>
            </w:r>
          </w:p>
          <w:p>
            <w:pPr>
              <w:pStyle w:val="p"/>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p>
        </w:tc>
      </w:tr>
    </w:tbl>
    <w:p>
      <w:pPr>
        <w:pStyle w:val="p"/>
        <w:widowControl/>
        <w:spacing w:before="0" w:after="0"/>
        <w:ind w:left="108" w:right="0"/>
        <w:jc w:val="left"/>
        <w:rPr>
          <w:rFonts w:ascii="Times New Roman" w:eastAsia="Times New Roman" w:hAnsi="Times New Roman" w:cs="Times New Roman"/>
          <w:kern w:val="0"/>
          <w:sz w:val="24"/>
          <w:szCs w:val="24"/>
        </w:rPr>
      </w:pPr>
    </w:p>
    <w:tbl>
      <w:tblPr>
        <w:tblStyle w:val="table"/>
        <w:tblW w:w="5000" w:type="pct"/>
        <w:jc w:val="center"/>
        <w:tblInd w:w="108"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Look w:val="05E0"/>
      </w:tblPr>
      <w:tblGrid>
        <w:gridCol w:w="8942"/>
      </w:tblGrid>
      <w:tr>
        <w:tblPrEx>
          <w:tblW w:w="5000" w:type="pct"/>
          <w:jc w:val="center"/>
          <w:tblInd w:w="108"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Look w:val="05E0"/>
        </w:tblPrEx>
        <w:trPr>
          <w:jc w:val="center"/>
        </w:trPr>
        <w:tc>
          <w:tcPr>
            <w:tcW w:w="9040"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center"/>
            <w:hideMark/>
          </w:tcPr>
          <w:p>
            <w:pPr>
              <w:pStyle w:val="div"/>
              <w:pBdr>
                <w:top w:val="none" w:sz="0" w:space="0" w:color="auto"/>
                <w:left w:val="none" w:sz="0" w:space="0" w:color="auto"/>
                <w:bottom w:val="none" w:sz="0" w:space="0" w:color="auto"/>
                <w:right w:val="none" w:sz="0" w:space="0" w:color="auto"/>
              </w:pBdr>
              <w:spacing w:before="30" w:after="0" w:line="288" w:lineRule="auto"/>
              <w:ind w:left="15"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投顾费 </w:t>
            </w:r>
          </w:p>
        </w:tc>
      </w:tr>
      <w:tr>
        <w:tblPrEx>
          <w:tblW w:w="5000" w:type="pct"/>
          <w:jc w:val="center"/>
          <w:tblInd w:w="108" w:type="dxa"/>
          <w:tblCellMar>
            <w:top w:w="0" w:type="dxa"/>
            <w:left w:w="0" w:type="dxa"/>
            <w:bottom w:w="0" w:type="dxa"/>
            <w:right w:w="0" w:type="dxa"/>
          </w:tblCellMar>
          <w:tblLook w:val="05E0"/>
        </w:tblPrEx>
        <w:trPr>
          <w:jc w:val="center"/>
        </w:trPr>
        <w:tc>
          <w:tcPr>
            <w:tcW w:w="9030" w:type="dxa"/>
            <w:tcBorders>
              <w:top w:val="single" w:sz="8" w:space="0" w:color="000000"/>
              <w:left w:val="single" w:sz="8" w:space="0" w:color="000000"/>
              <w:bottom w:val="single" w:sz="8" w:space="0" w:color="000000"/>
              <w:right w:val="single" w:sz="8" w:space="0" w:color="000000"/>
            </w:tcBorders>
            <w:noWrap w:val="0"/>
            <w:tcMar>
              <w:top w:w="106" w:type="dxa"/>
              <w:left w:w="108" w:type="dxa"/>
              <w:bottom w:w="106" w:type="dxa"/>
              <w:right w:w="108" w:type="dxa"/>
            </w:tcMar>
            <w:vAlign w:val="top"/>
            <w:hideMark/>
          </w:tcPr>
          <w:p>
            <w:pPr>
              <w:pStyle w:val="p"/>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p>
          <w:p>
            <w:pPr>
              <w:pStyle w:val="p"/>
              <w:spacing w:before="30" w:after="0" w:line="288" w:lineRule="auto"/>
              <w:ind w:left="15" w:right="0" w:firstLine="0"/>
              <w:jc w:val="left"/>
              <w:rPr>
                <w:rFonts w:ascii="Times New Roman" w:eastAsia="Times New Roman" w:hAnsi="Times New Roman" w:cs="Times New Roman"/>
                <w:b w:val="0"/>
                <w:bCs w:val="0"/>
                <w:i w:val="0"/>
                <w:iCs w:val="0"/>
                <w:smallCaps w:val="0"/>
                <w:color w:val="000000"/>
                <w:kern w:val="0"/>
                <w:sz w:val="24"/>
                <w:szCs w:val="24"/>
              </w:rPr>
            </w:pPr>
          </w:p>
        </w:tc>
      </w:tr>
    </w:tbl>
    <w:p w:rsidR="001E621F" w:rsidP="00AB1E37">
      <w:pPr>
        <w:autoSpaceDE w:val="0"/>
        <w:autoSpaceDN w:val="0"/>
        <w:adjustRightInd w:val="0"/>
        <w:spacing w:before="30" w:line="288" w:lineRule="auto"/>
        <w:ind w:left="15" w:firstLine="482"/>
        <w:jc w:val="left"/>
        <w:rPr>
          <w:rFonts w:ascii="宋体"/>
          <w:color w:val="000000"/>
          <w:kern w:val="0"/>
          <w:sz w:val="24"/>
          <w:szCs w:val="24"/>
        </w:rPr>
      </w:pPr>
    </w:p>
    <w:p w:rsidR="001E621F" w:rsidRPr="001E621F" w:rsidP="00C32C5C" w14:textId="0C7B063A">
      <w:pPr>
        <w:autoSpaceDE w:val="0"/>
        <w:autoSpaceDN w:val="0"/>
        <w:adjustRightInd w:val="0"/>
        <w:spacing w:before="30" w:line="288" w:lineRule="auto"/>
        <w:jc w:val="center"/>
        <w:outlineLvl w:val="0"/>
        <w:rPr>
          <w:rFonts w:ascii="Times New Roman" w:hAnsi="Times New Roman"/>
          <w:b/>
          <w:color w:val="000000"/>
          <w:kern w:val="0"/>
          <w:sz w:val="24"/>
          <w:szCs w:val="24"/>
        </w:rPr>
      </w:pPr>
      <w:bookmarkStart w:id="15" w:name="_Toc256000015"/>
      <w:r>
        <w:rPr>
          <w:rFonts w:ascii="Times New Roman" w:hAnsi="Times New Roman"/>
          <w:b/>
          <w:noProof/>
          <w:color w:val="000000"/>
          <w:kern w:val="0"/>
          <w:sz w:val="24"/>
          <w:szCs w:val="24"/>
        </w:rPr>
        <w:t xml:space="preserve">§7 </w:t>
      </w:r>
      <w:r>
        <w:rPr>
          <w:rFonts w:ascii="Times New Roman" w:hAnsi="Times New Roman"/>
          <w:b/>
          <w:noProof/>
          <w:color w:val="000000"/>
          <w:kern w:val="0"/>
          <w:sz w:val="24"/>
          <w:szCs w:val="24"/>
        </w:rPr>
        <w:t>其他重大事项</w:t>
      </w:r>
      <w:bookmarkEnd w:id="15"/>
    </w:p>
    <w:p w14:textId="77777777">
      <w:pPr>
        <w:pStyle w:val="div"/>
        <w:widowControl/>
        <w:pBdr>
          <w:top w:val="none" w:sz="0" w:space="0" w:color="auto"/>
          <w:left w:val="none" w:sz="0" w:space="0" w:color="auto"/>
          <w:bottom w:val="none" w:sz="0" w:space="0" w:color="auto"/>
          <w:right w:val="none" w:sz="0" w:space="0" w:color="auto"/>
        </w:pBdr>
        <w:spacing w:before="0" w:after="0" w:line="288" w:lineRule="auto"/>
        <w:ind w:left="0" w:right="0" w:firstLine="480"/>
        <w:jc w:val="left"/>
        <w:rPr>
          <w:rFonts w:ascii="SimSun" w:eastAsia="SimSun" w:hAnsi="SimSun" w:cs="SimSun"/>
          <w:color w:val="000000"/>
          <w:kern w:val="0"/>
          <w:sz w:val="24"/>
          <w:szCs w:val="24"/>
        </w:rPr>
      </w:pPr>
      <w:r>
        <w:rPr>
          <w:rFonts w:ascii="SimSun" w:eastAsia="SimSun" w:hAnsi="SimSun" w:cs="SimSun"/>
          <w:color w:val="000000"/>
          <w:kern w:val="0"/>
          <w:sz w:val="24"/>
          <w:szCs w:val="24"/>
        </w:rPr>
        <w:t xml:space="preserve">本报告期内无重大事项。 </w:t>
      </w:r>
    </w:p>
    <w:p w:rsidR="001E621F" w:rsidP="00AB1E37">
      <w:pPr>
        <w:autoSpaceDE w:val="0"/>
        <w:autoSpaceDN w:val="0"/>
        <w:adjustRightInd w:val="0"/>
        <w:spacing w:before="30" w:line="288" w:lineRule="auto"/>
        <w:ind w:left="15" w:firstLine="482"/>
        <w:jc w:val="left"/>
        <w:rPr>
          <w:rFonts w:ascii="宋体"/>
          <w:color w:val="000000"/>
          <w:kern w:val="0"/>
          <w:sz w:val="24"/>
          <w:szCs w:val="24"/>
        </w:rPr>
      </w:pPr>
    </w:p>
    <w:p w:rsidR="00C63BCF" w:rsidRPr="00C63BCF" w:rsidP="00C63BCF" w14:paraId="3DC47E98" w14:textId="77777777">
      <w:pPr>
        <w:autoSpaceDE w:val="0"/>
        <w:autoSpaceDN w:val="0"/>
        <w:adjustRightInd w:val="0"/>
        <w:spacing w:before="30" w:line="288" w:lineRule="auto"/>
        <w:ind w:left="15" w:firstLine="482"/>
        <w:jc w:val="right"/>
        <w:rPr>
          <w:rFonts w:ascii="Times New Roman" w:hAnsi="Times New Roman"/>
          <w:b/>
          <w:color w:val="000000"/>
          <w:kern w:val="0"/>
          <w:sz w:val="24"/>
          <w:szCs w:val="24"/>
        </w:rPr>
      </w:pPr>
      <w:r w:rsidRPr="00C63BCF">
        <w:rPr>
          <w:rFonts w:ascii="Times New Roman" w:hAnsi="Times New Roman" w:hint="eastAsia"/>
          <w:b/>
          <w:color w:val="000000"/>
          <w:kern w:val="0"/>
          <w:sz w:val="24"/>
          <w:szCs w:val="24"/>
        </w:rPr>
        <w:t>创金合</w:t>
      </w:r>
      <w:r w:rsidRPr="00C63BCF">
        <w:rPr>
          <w:rFonts w:ascii="Times New Roman" w:hAnsi="Times New Roman" w:hint="eastAsia"/>
          <w:b/>
          <w:color w:val="000000"/>
          <w:kern w:val="0"/>
          <w:sz w:val="24"/>
          <w:szCs w:val="24"/>
        </w:rPr>
        <w:t>信基金管理有限公司</w:t>
      </w:r>
    </w:p>
    <w:p w:rsidR="00353EE6" w:rsidRPr="00C32C5C" w:rsidP="00C32C5C" w14:paraId="4FA85AEB" w14:textId="24803CA1">
      <w:pPr>
        <w:autoSpaceDE w:val="0"/>
        <w:autoSpaceDN w:val="0"/>
        <w:adjustRightInd w:val="0"/>
        <w:spacing w:before="30" w:line="288" w:lineRule="auto"/>
        <w:ind w:firstLine="480" w:firstLineChars="200"/>
        <w:jc w:val="right"/>
        <w:rPr>
          <w:rFonts w:ascii="宋体"/>
          <w:b/>
          <w:color w:val="000000"/>
          <w:kern w:val="0"/>
          <w:sz w:val="24"/>
          <w:szCs w:val="24"/>
        </w:rPr>
        <w:sectPr w:rsidSect="005C3FF2">
          <w:headerReference w:type="default" r:id="rId4"/>
          <w:footerReference w:type="default" r:id="rId5"/>
          <w:pgSz w:w="11926" w:h="16867"/>
          <w:pgMar w:top="1418" w:right="1418" w:bottom="853" w:left="1418" w:header="851" w:footer="992" w:gutter="0"/>
          <w:cols w:space="720"/>
          <w:noEndnote/>
        </w:sectPr>
      </w:pPr>
      <w:r>
        <w:rPr>
          <w:rFonts w:ascii="宋体"/>
          <w:b/>
          <w:noProof/>
          <w:color w:val="000000"/>
          <w:kern w:val="0"/>
          <w:sz w:val="24"/>
          <w:szCs w:val="24"/>
        </w:rPr>
        <w:t>二〇二四年一月三十日</w:t>
      </w:r>
    </w:p>
    <w:p w14:paraId="5816DE23" w14:textId="7D5449BA">
      <w:pPr>
        <w:pStyle w:val="div"/>
        <w:widowControl/>
        <w:pBdr>
          <w:top w:val="none" w:sz="0" w:space="0" w:color="auto"/>
          <w:left w:val="none" w:sz="0" w:space="0" w:color="auto"/>
          <w:bottom w:val="none" w:sz="0" w:space="0" w:color="auto"/>
          <w:right w:val="none" w:sz="0" w:space="0" w:color="auto"/>
        </w:pBdr>
        <w:spacing w:before="0" w:after="0"/>
        <w:ind w:left="0" w:right="0"/>
        <w:jc w:val="lef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w:t>
      </w:r>
    </w:p>
    <w:p>
      <w:pPr>
        <w:pStyle w:val="div"/>
        <w:widowControl/>
        <w:pBdr>
          <w:top w:val="none" w:sz="0" w:space="0" w:color="auto"/>
          <w:left w:val="none" w:sz="0" w:space="0" w:color="auto"/>
          <w:bottom w:val="none" w:sz="0" w:space="0" w:color="auto"/>
          <w:right w:val="none" w:sz="0" w:space="0" w:color="auto"/>
        </w:pBdr>
        <w:spacing w:before="0" w:after="0"/>
        <w:ind w:left="0" w:right="0"/>
        <w:jc w:val="left"/>
        <w:rPr>
          <w:rFonts w:ascii="Times New Roman" w:eastAsia="Times New Roman" w:hAnsi="Times New Roman" w:cs="Times New Roman"/>
          <w:kern w:val="0"/>
          <w:sz w:val="24"/>
          <w:szCs w:val="24"/>
        </w:rPr>
      </w:pPr>
      <w:r>
        <w:rPr>
          <w:rFonts w:ascii="SimSun" w:eastAsia="SimSun" w:hAnsi="SimSun" w:cs="SimSun"/>
          <w:b/>
          <w:bCs/>
          <w:kern w:val="0"/>
          <w:sz w:val="24"/>
          <w:szCs w:val="24"/>
        </w:rPr>
        <w:t>附件：管理人关联方清单</w:t>
      </w:r>
    </w:p>
    <w:tbl>
      <w:tblPr>
        <w:tblStyle w:val="table"/>
        <w:tblW w:w="5000" w:type="pct"/>
        <w:tblInd w:w="-5"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Look w:val="05E0"/>
      </w:tblPr>
      <w:tblGrid>
        <w:gridCol w:w="8816"/>
        <w:gridCol w:w="5747"/>
      </w:tblGrid>
      <w:tr>
        <w:tblPrEx>
          <w:tblW w:w="5000" w:type="pct"/>
          <w:tblInd w:w="-5" w:type="dxa"/>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Look w:val="05E0"/>
        </w:tblPrEx>
        <w:trPr>
          <w:trHeight w:val="288"/>
        </w:trPr>
        <w:tc>
          <w:tcPr>
            <w:tcW w:w="5176" w:type="dxa"/>
            <w:tcBorders>
              <w:top w:val="single" w:sz="8" w:space="0" w:color="000000"/>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bCs/>
                <w:i w:val="0"/>
                <w:iCs w:val="0"/>
                <w:smallCaps w:val="0"/>
                <w:color w:val="000000"/>
                <w:kern w:val="0"/>
                <w:sz w:val="24"/>
                <w:szCs w:val="24"/>
              </w:rPr>
              <w:t>关联法人名称</w:t>
            </w:r>
          </w:p>
        </w:tc>
        <w:tc>
          <w:tcPr>
            <w:tcW w:w="3171" w:type="dxa"/>
            <w:tcBorders>
              <w:top w:val="single" w:sz="8"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bCs/>
                <w:i w:val="0"/>
                <w:iCs w:val="0"/>
                <w:smallCaps w:val="0"/>
                <w:color w:val="000000"/>
                <w:kern w:val="0"/>
                <w:sz w:val="24"/>
                <w:szCs w:val="24"/>
              </w:rPr>
              <w:t>关联关系</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创金合信基金管理有限公司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第一创业证券股份有限公司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公司的控股股东</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深圳市创基实业投资有限公司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公司全资子公司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北京厚基资本管理有限公司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北京京玺庄园有限公司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北京厚基鼎成投资管理有限公司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烟台京玺农业发展有限公司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黄山京玺庄园有限公司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海南京玺庄园有限公司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京玺庄园（烟台）有限公司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深圳市金合信投资合伙企业（有限合伙）</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深圳市金合振投资合伙企业</w:t>
            </w:r>
            <w:r>
              <w:rPr>
                <w:rStyle w:val="custom"/>
                <w:rFonts w:ascii="SimSun" w:eastAsia="SimSun" w:hAnsi="SimSun" w:cs="SimSun"/>
                <w:b w:val="0"/>
                <w:bCs w:val="0"/>
                <w:i w:val="0"/>
                <w:iCs w:val="0"/>
                <w:smallCaps w:val="0"/>
                <w:color w:val="000000"/>
                <w:kern w:val="0"/>
                <w:sz w:val="24"/>
                <w:szCs w:val="24"/>
                <w:lang w:eastAsia="en-US"/>
              </w:rPr>
              <w:t>(</w:t>
            </w:r>
            <w:r>
              <w:rPr>
                <w:rFonts w:ascii="SimSun" w:eastAsia="SimSun" w:hAnsi="SimSun" w:cs="SimSun"/>
                <w:b w:val="0"/>
                <w:bCs w:val="0"/>
                <w:i w:val="0"/>
                <w:iCs w:val="0"/>
                <w:smallCaps w:val="0"/>
                <w:color w:val="000000"/>
                <w:kern w:val="0"/>
                <w:sz w:val="24"/>
                <w:szCs w:val="24"/>
              </w:rPr>
              <w:t>有限合伙</w:t>
            </w:r>
            <w:r>
              <w:rPr>
                <w:rStyle w:val="custom"/>
                <w:rFonts w:ascii="SimSun" w:eastAsia="SimSun" w:hAnsi="SimSun" w:cs="SimSun"/>
                <w:b w:val="0"/>
                <w:bCs w:val="0"/>
                <w:i w:val="0"/>
                <w:iCs w:val="0"/>
                <w:smallCaps w:val="0"/>
                <w:color w:val="000000"/>
                <w:kern w:val="0"/>
                <w:sz w:val="24"/>
                <w:szCs w:val="24"/>
                <w:lang w:eastAsia="en-US"/>
              </w:rPr>
              <w:t>)</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深圳市金合兴投资合伙企业</w:t>
            </w:r>
            <w:r>
              <w:rPr>
                <w:rStyle w:val="custom"/>
                <w:rFonts w:ascii="SimSun" w:eastAsia="SimSun" w:hAnsi="SimSun" w:cs="SimSun"/>
                <w:b w:val="0"/>
                <w:bCs w:val="0"/>
                <w:i w:val="0"/>
                <w:iCs w:val="0"/>
                <w:smallCaps w:val="0"/>
                <w:color w:val="000000"/>
                <w:kern w:val="0"/>
                <w:sz w:val="24"/>
                <w:szCs w:val="24"/>
                <w:lang w:eastAsia="en-US"/>
              </w:rPr>
              <w:t>(</w:t>
            </w:r>
            <w:r>
              <w:rPr>
                <w:rFonts w:ascii="SimSun" w:eastAsia="SimSun" w:hAnsi="SimSun" w:cs="SimSun"/>
                <w:b w:val="0"/>
                <w:bCs w:val="0"/>
                <w:i w:val="0"/>
                <w:iCs w:val="0"/>
                <w:smallCaps w:val="0"/>
                <w:color w:val="000000"/>
                <w:kern w:val="0"/>
                <w:sz w:val="24"/>
                <w:szCs w:val="24"/>
              </w:rPr>
              <w:t>有限合伙</w:t>
            </w:r>
            <w:r>
              <w:rPr>
                <w:rStyle w:val="custom"/>
                <w:rFonts w:ascii="SimSun" w:eastAsia="SimSun" w:hAnsi="SimSun" w:cs="SimSun"/>
                <w:b w:val="0"/>
                <w:bCs w:val="0"/>
                <w:i w:val="0"/>
                <w:iCs w:val="0"/>
                <w:smallCaps w:val="0"/>
                <w:color w:val="000000"/>
                <w:kern w:val="0"/>
                <w:sz w:val="24"/>
                <w:szCs w:val="24"/>
                <w:lang w:eastAsia="en-US"/>
              </w:rPr>
              <w:t>)</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深圳市金合中投资合伙企业</w:t>
            </w:r>
            <w:r>
              <w:rPr>
                <w:rStyle w:val="custom"/>
                <w:rFonts w:ascii="SimSun" w:eastAsia="SimSun" w:hAnsi="SimSun" w:cs="SimSun"/>
                <w:b w:val="0"/>
                <w:bCs w:val="0"/>
                <w:i w:val="0"/>
                <w:iCs w:val="0"/>
                <w:smallCaps w:val="0"/>
                <w:color w:val="000000"/>
                <w:kern w:val="0"/>
                <w:sz w:val="24"/>
                <w:szCs w:val="24"/>
                <w:lang w:eastAsia="en-US"/>
              </w:rPr>
              <w:t>(</w:t>
            </w:r>
            <w:r>
              <w:rPr>
                <w:rFonts w:ascii="SimSun" w:eastAsia="SimSun" w:hAnsi="SimSun" w:cs="SimSun"/>
                <w:b w:val="0"/>
                <w:bCs w:val="0"/>
                <w:i w:val="0"/>
                <w:iCs w:val="0"/>
                <w:smallCaps w:val="0"/>
                <w:color w:val="000000"/>
                <w:kern w:val="0"/>
                <w:sz w:val="24"/>
                <w:szCs w:val="24"/>
              </w:rPr>
              <w:t>有限合伙</w:t>
            </w:r>
            <w:r>
              <w:rPr>
                <w:rStyle w:val="custom"/>
                <w:rFonts w:ascii="SimSun" w:eastAsia="SimSun" w:hAnsi="SimSun" w:cs="SimSun"/>
                <w:b w:val="0"/>
                <w:bCs w:val="0"/>
                <w:i w:val="0"/>
                <w:iCs w:val="0"/>
                <w:smallCaps w:val="0"/>
                <w:color w:val="000000"/>
                <w:kern w:val="0"/>
                <w:sz w:val="24"/>
                <w:szCs w:val="24"/>
                <w:lang w:eastAsia="en-US"/>
              </w:rPr>
              <w:t>)</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深圳市金合华投资合伙企业</w:t>
            </w:r>
            <w:r>
              <w:rPr>
                <w:rStyle w:val="custom"/>
                <w:rFonts w:ascii="SimSun" w:eastAsia="SimSun" w:hAnsi="SimSun" w:cs="SimSun"/>
                <w:b w:val="0"/>
                <w:bCs w:val="0"/>
                <w:i w:val="0"/>
                <w:iCs w:val="0"/>
                <w:smallCaps w:val="0"/>
                <w:color w:val="000000"/>
                <w:kern w:val="0"/>
                <w:sz w:val="24"/>
                <w:szCs w:val="24"/>
                <w:lang w:eastAsia="en-US"/>
              </w:rPr>
              <w:t>(</w:t>
            </w:r>
            <w:r>
              <w:rPr>
                <w:rFonts w:ascii="SimSun" w:eastAsia="SimSun" w:hAnsi="SimSun" w:cs="SimSun"/>
                <w:b w:val="0"/>
                <w:bCs w:val="0"/>
                <w:i w:val="0"/>
                <w:iCs w:val="0"/>
                <w:smallCaps w:val="0"/>
                <w:color w:val="000000"/>
                <w:kern w:val="0"/>
                <w:sz w:val="24"/>
                <w:szCs w:val="24"/>
              </w:rPr>
              <w:t>有限合伙</w:t>
            </w:r>
            <w:r>
              <w:rPr>
                <w:rStyle w:val="custom"/>
                <w:rFonts w:ascii="SimSun" w:eastAsia="SimSun" w:hAnsi="SimSun" w:cs="SimSun"/>
                <w:b w:val="0"/>
                <w:bCs w:val="0"/>
                <w:i w:val="0"/>
                <w:iCs w:val="0"/>
                <w:smallCaps w:val="0"/>
                <w:color w:val="000000"/>
                <w:kern w:val="0"/>
                <w:sz w:val="24"/>
                <w:szCs w:val="24"/>
                <w:lang w:eastAsia="en-US"/>
              </w:rPr>
              <w:t>)</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深圳市金合同投资合伙企业</w:t>
            </w:r>
            <w:r>
              <w:rPr>
                <w:rStyle w:val="custom"/>
                <w:rFonts w:ascii="SimSun" w:eastAsia="SimSun" w:hAnsi="SimSun" w:cs="SimSun"/>
                <w:b w:val="0"/>
                <w:bCs w:val="0"/>
                <w:i w:val="0"/>
                <w:iCs w:val="0"/>
                <w:smallCaps w:val="0"/>
                <w:color w:val="000000"/>
                <w:kern w:val="0"/>
                <w:sz w:val="24"/>
                <w:szCs w:val="24"/>
                <w:lang w:eastAsia="en-US"/>
              </w:rPr>
              <w:t>(</w:t>
            </w:r>
            <w:r>
              <w:rPr>
                <w:rFonts w:ascii="SimSun" w:eastAsia="SimSun" w:hAnsi="SimSun" w:cs="SimSun"/>
                <w:b w:val="0"/>
                <w:bCs w:val="0"/>
                <w:i w:val="0"/>
                <w:iCs w:val="0"/>
                <w:smallCaps w:val="0"/>
                <w:color w:val="000000"/>
                <w:kern w:val="0"/>
                <w:sz w:val="24"/>
                <w:szCs w:val="24"/>
              </w:rPr>
              <w:t>有限合伙</w:t>
            </w:r>
            <w:r>
              <w:rPr>
                <w:rStyle w:val="custom"/>
                <w:rFonts w:ascii="SimSun" w:eastAsia="SimSun" w:hAnsi="SimSun" w:cs="SimSun"/>
                <w:b w:val="0"/>
                <w:bCs w:val="0"/>
                <w:i w:val="0"/>
                <w:iCs w:val="0"/>
                <w:smallCaps w:val="0"/>
                <w:color w:val="000000"/>
                <w:kern w:val="0"/>
                <w:sz w:val="24"/>
                <w:szCs w:val="24"/>
                <w:lang w:eastAsia="en-US"/>
              </w:rPr>
              <w:t>)</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深圳市金合荣投资合伙企业</w:t>
            </w:r>
            <w:r>
              <w:rPr>
                <w:rStyle w:val="custom"/>
                <w:rFonts w:ascii="SimSun" w:eastAsia="SimSun" w:hAnsi="SimSun" w:cs="SimSun"/>
                <w:b w:val="0"/>
                <w:bCs w:val="0"/>
                <w:i w:val="0"/>
                <w:iCs w:val="0"/>
                <w:smallCaps w:val="0"/>
                <w:color w:val="000000"/>
                <w:kern w:val="0"/>
                <w:sz w:val="24"/>
                <w:szCs w:val="24"/>
                <w:lang w:eastAsia="en-US"/>
              </w:rPr>
              <w:t>(</w:t>
            </w:r>
            <w:r>
              <w:rPr>
                <w:rFonts w:ascii="SimSun" w:eastAsia="SimSun" w:hAnsi="SimSun" w:cs="SimSun"/>
                <w:b w:val="0"/>
                <w:bCs w:val="0"/>
                <w:i w:val="0"/>
                <w:iCs w:val="0"/>
                <w:smallCaps w:val="0"/>
                <w:color w:val="000000"/>
                <w:kern w:val="0"/>
                <w:sz w:val="24"/>
                <w:szCs w:val="24"/>
              </w:rPr>
              <w:t>有限合伙</w:t>
            </w:r>
            <w:r>
              <w:rPr>
                <w:rStyle w:val="custom"/>
                <w:rFonts w:ascii="SimSun" w:eastAsia="SimSun" w:hAnsi="SimSun" w:cs="SimSun"/>
                <w:b w:val="0"/>
                <w:bCs w:val="0"/>
                <w:i w:val="0"/>
                <w:iCs w:val="0"/>
                <w:smallCaps w:val="0"/>
                <w:color w:val="000000"/>
                <w:kern w:val="0"/>
                <w:sz w:val="24"/>
                <w:szCs w:val="24"/>
                <w:lang w:eastAsia="en-US"/>
              </w:rPr>
              <w:t>)</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公司董监高控制的企业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深圳市第一创业公益基金会</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控股股东第一创业发起设立的基金会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深圳元山私募股权投资管理有限公司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控股股东第一创业合营企业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广东晟创私募股权投资基金管理有限公司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控股股东第一创业合营企业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深圳一创创盈投资管理有限公司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控股股东第一创业间接控股子公司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深圳一创新天投资管理有限公司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控股股东第一创业间接控股子公司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深圳一创大族投资管理有限公司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控股股东第一创业间接控股子公司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深圳一创大族特种机器人基金企业（有限合伙）</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控股股东第一创业间接控股子公司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深圳第一创业元创投资管理有限公司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控股股东第一创业间接控股子公司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广东恒元创私募基金管理有限公司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控股股东第一创业间接控股子公司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颐创（上海）文化传媒有限公司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控股股东第一创业间接控股子公司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北京一创远航投资管理有限公司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控股股东第一创业间接控股子公司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深圳一创兴晨投资合伙企业（有限合伙）</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控股股东第一创业间接控股子公司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深圳市一新光伏新能源投资合伙企业（有限合伙）</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控股股东第一创业间接控股子公司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珠海一创春晖股权投资基金企业（有限合伙）</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控股股东第一创业间接控股子公司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中关村顺势一创（北京）私募基金投资管理股份有限公司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控股股东第一创业间接控股子公司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广东一创恒健融资租赁有限公司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控股股东第一创业间接控股子公司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武汉高宏新材投资管理有限公司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控股股东第一创业联营企业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北京亦城宏泰科技投资管理有限公司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控股股东第一创业联营企业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深圳市鲲鹏一创私募股权投资管理有限公司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控股股东第一创业联营企业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上海市鼎泳能源科技有限公司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控股股东第一创业联营企业</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第一创业期货有限责任公司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控股股东第一创业全资子公司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第一创业投资管理有限公司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控股股东第一创业全资子公司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第一创业证券承销保荐有限责任公司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控股股东第一创业全资子公司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深圳第一创业创新资本管理有限公司</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控股股东第一创业全资子公司</w:t>
            </w:r>
          </w:p>
        </w:tc>
      </w:tr>
      <w:tr>
        <w:tblPrEx>
          <w:tblW w:w="5000" w:type="pct"/>
          <w:tblInd w:w="-5" w:type="dxa"/>
          <w:tblCellMar>
            <w:top w:w="0" w:type="dxa"/>
            <w:left w:w="0" w:type="dxa"/>
            <w:bottom w:w="0" w:type="dxa"/>
            <w:right w:w="0" w:type="dxa"/>
          </w:tblCellMar>
          <w:tblLook w:val="05E0"/>
        </w:tblPrEx>
        <w:trPr>
          <w:trHeight w:val="300"/>
        </w:trPr>
        <w:tc>
          <w:tcPr>
            <w:tcW w:w="5176" w:type="dxa"/>
            <w:tcBorders>
              <w:left w:val="single" w:sz="8" w:space="0" w:color="000000"/>
              <w:bottom w:val="single" w:sz="8" w:space="0" w:color="000000"/>
              <w:right w:val="single" w:sz="8" w:space="0" w:color="000000"/>
            </w:tcBorders>
            <w:noWrap w:val="0"/>
            <w:tcMar>
              <w:top w:w="0" w:type="dxa"/>
              <w:left w:w="118"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left"/>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深圳市第一创业债券研究院</w:t>
            </w:r>
          </w:p>
        </w:tc>
        <w:tc>
          <w:tcPr>
            <w:tcW w:w="3171"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div"/>
              <w:widowControl/>
              <w:pBdr>
                <w:top w:val="none" w:sz="0" w:space="0" w:color="auto"/>
                <w:left w:val="none" w:sz="0" w:space="0" w:color="auto"/>
                <w:bottom w:val="none" w:sz="0" w:space="0" w:color="auto"/>
                <w:right w:val="none" w:sz="0" w:space="0" w:color="auto"/>
              </w:pBdr>
              <w:spacing w:before="0" w:after="0"/>
              <w:ind w:left="0" w:right="0" w:firstLine="0"/>
              <w:jc w:val="center"/>
              <w:rPr>
                <w:rFonts w:ascii="Times New Roman" w:eastAsia="Times New Roman" w:hAnsi="Times New Roman" w:cs="Times New Roman"/>
                <w:b w:val="0"/>
                <w:bCs w:val="0"/>
                <w:i w:val="0"/>
                <w:iCs w:val="0"/>
                <w:smallCaps w:val="0"/>
                <w:color w:val="000000"/>
                <w:kern w:val="0"/>
                <w:sz w:val="24"/>
                <w:szCs w:val="24"/>
              </w:rPr>
            </w:pPr>
            <w:r>
              <w:rPr>
                <w:rFonts w:ascii="SimSun" w:eastAsia="SimSun" w:hAnsi="SimSun" w:cs="SimSun"/>
                <w:b w:val="0"/>
                <w:bCs w:val="0"/>
                <w:i w:val="0"/>
                <w:iCs w:val="0"/>
                <w:smallCaps w:val="0"/>
                <w:color w:val="000000"/>
                <w:kern w:val="0"/>
                <w:sz w:val="24"/>
                <w:szCs w:val="24"/>
              </w:rPr>
              <w:t>公司控股股东控制的企业</w:t>
            </w:r>
          </w:p>
        </w:tc>
      </w:tr>
    </w:tbl>
    <w:p>
      <w:pPr>
        <w:pStyle w:val="div"/>
        <w:widowControl/>
        <w:pBdr>
          <w:top w:val="none" w:sz="0" w:space="0" w:color="auto"/>
          <w:left w:val="none" w:sz="0" w:space="0" w:color="auto"/>
          <w:bottom w:val="none" w:sz="0" w:space="0" w:color="auto"/>
          <w:right w:val="none" w:sz="0" w:space="0" w:color="auto"/>
        </w:pBdr>
        <w:spacing w:before="0" w:after="0"/>
        <w:ind w:left="0" w:right="0"/>
        <w:jc w:val="lef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w:t>
      </w:r>
    </w:p>
    <w:p>
      <w:pPr>
        <w:pStyle w:val="div"/>
        <w:widowControl/>
        <w:pBdr>
          <w:top w:val="none" w:sz="0" w:space="0" w:color="auto"/>
          <w:left w:val="none" w:sz="0" w:space="0" w:color="auto"/>
          <w:bottom w:val="none" w:sz="0" w:space="0" w:color="auto"/>
          <w:right w:val="none" w:sz="0" w:space="0" w:color="auto"/>
        </w:pBdr>
        <w:spacing w:before="0" w:after="0"/>
        <w:ind w:left="0" w:right="0"/>
        <w:jc w:val="lef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w:t>
      </w:r>
    </w:p>
    <w:p>
      <w:pPr>
        <w:pStyle w:val="div"/>
        <w:widowControl/>
        <w:pBdr>
          <w:top w:val="none" w:sz="0" w:space="0" w:color="auto"/>
          <w:left w:val="none" w:sz="0" w:space="0" w:color="auto"/>
          <w:bottom w:val="none" w:sz="0" w:space="0" w:color="auto"/>
          <w:right w:val="none" w:sz="0" w:space="0" w:color="auto"/>
        </w:pBdr>
        <w:spacing w:before="0" w:after="0"/>
        <w:ind w:left="0" w:right="0"/>
        <w:jc w:val="lef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w:t>
      </w:r>
    </w:p>
    <w:p>
      <w:pPr>
        <w:pStyle w:val="div"/>
        <w:widowControl/>
        <w:pBdr>
          <w:top w:val="none" w:sz="0" w:space="0" w:color="auto"/>
          <w:left w:val="none" w:sz="0" w:space="0" w:color="auto"/>
          <w:bottom w:val="none" w:sz="0" w:space="0" w:color="auto"/>
          <w:right w:val="none" w:sz="0" w:space="0" w:color="auto"/>
        </w:pBdr>
        <w:spacing w:before="0" w:after="0"/>
        <w:ind w:left="0" w:right="0"/>
        <w:jc w:val="left"/>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 </w:t>
      </w:r>
    </w:p>
    <w:p w:rsidR="00E27643" w:rsidP="00C32C5C">
      <w:pPr>
        <w:autoSpaceDE w:val="0"/>
        <w:autoSpaceDN w:val="0"/>
        <w:adjustRightInd w:val="0"/>
        <w:spacing w:before="30" w:line="288" w:lineRule="auto"/>
        <w:jc w:val="left"/>
        <w:rPr>
          <w:rFonts w:ascii="Times New Roman" w:hAnsi="Times New Roman"/>
          <w:color w:val="000000"/>
          <w:kern w:val="0"/>
          <w:sz w:val="24"/>
          <w:szCs w:val="24"/>
        </w:rPr>
      </w:pPr>
    </w:p>
    <w:p w:rsidR="00C559E3" w:rsidRPr="00C559E3" w:rsidP="00C32C5C" w14:paraId="259D6DB1" w14:textId="72F5EEA5">
      <w:pPr>
        <w:autoSpaceDE w:val="0"/>
        <w:autoSpaceDN w:val="0"/>
        <w:adjustRightInd w:val="0"/>
        <w:spacing w:before="30" w:line="288" w:lineRule="auto"/>
        <w:jc w:val="left"/>
        <w:rPr>
          <w:rFonts w:ascii="Times New Roman" w:hAnsi="Times New Roman"/>
          <w:color w:val="000000"/>
          <w:kern w:val="0"/>
          <w:sz w:val="24"/>
          <w:szCs w:val="24"/>
        </w:rPr>
      </w:pPr>
      <w:r>
        <w:rPr>
          <w:rFonts w:ascii="Times New Roman" w:hAnsi="Times New Roman"/>
          <w:noProof/>
          <w:color w:val="000000"/>
          <w:kern w:val="0"/>
          <w:sz w:val="24"/>
          <w:szCs w:val="24"/>
        </w:rPr>
        <w:br w:type="page"/>
      </w:r>
    </w:p>
    <w:p w:rsidR="00C63BCF" w:rsidRPr="00C63BCF" w:rsidP="00526AEA" w14:paraId="08B4D8F1" w14:textId="687BF5AA">
      <w:pPr>
        <w:widowControl/>
        <w:jc w:val="left"/>
        <w:rPr>
          <w:rFonts w:ascii="Times New Roman" w:hAnsi="Times New Roman"/>
          <w:b/>
          <w:color w:val="000000"/>
          <w:kern w:val="0"/>
          <w:sz w:val="36"/>
          <w:szCs w:val="24"/>
        </w:rPr>
      </w:pPr>
      <w:r w:rsidRPr="00C63BCF">
        <w:rPr>
          <w:rFonts w:ascii="Times New Roman" w:hAnsi="Times New Roman" w:hint="eastAsia"/>
          <w:b/>
          <w:color w:val="000000"/>
          <w:kern w:val="0"/>
          <w:sz w:val="36"/>
          <w:szCs w:val="24"/>
        </w:rPr>
        <w:t>免责声明</w:t>
      </w:r>
    </w:p>
    <w:p w:rsidR="00C63BCF" w:rsidRPr="00C63BCF" w:rsidP="00C63BCF" w14:paraId="1CF35AC9" w14:textId="77777777">
      <w:pPr>
        <w:autoSpaceDE w:val="0"/>
        <w:autoSpaceDN w:val="0"/>
        <w:adjustRightInd w:val="0"/>
        <w:spacing w:line="288" w:lineRule="auto"/>
        <w:jc w:val="left"/>
        <w:rPr>
          <w:rFonts w:ascii="Times New Roman" w:hAnsi="Times New Roman"/>
          <w:color w:val="000000"/>
          <w:kern w:val="0"/>
          <w:sz w:val="24"/>
          <w:szCs w:val="24"/>
        </w:rPr>
      </w:pPr>
    </w:p>
    <w:p w:rsidR="00C63BCF" w:rsidRPr="00C63BCF" w:rsidP="00C63BCF" w14:paraId="3EEEA491" w14:textId="77777777">
      <w:pPr>
        <w:autoSpaceDE w:val="0"/>
        <w:autoSpaceDN w:val="0"/>
        <w:adjustRightInd w:val="0"/>
        <w:spacing w:before="30" w:line="288" w:lineRule="auto"/>
        <w:ind w:left="15"/>
        <w:jc w:val="left"/>
        <w:rPr>
          <w:rFonts w:ascii="Times New Roman" w:hAnsi="Times New Roman"/>
          <w:color w:val="000000"/>
          <w:kern w:val="0"/>
          <w:sz w:val="24"/>
          <w:szCs w:val="24"/>
        </w:rPr>
      </w:pPr>
      <w:r w:rsidRPr="00C63BCF">
        <w:rPr>
          <w:rFonts w:ascii="Times New Roman" w:hAnsi="Times New Roman"/>
          <w:color w:val="000000"/>
          <w:kern w:val="0"/>
          <w:sz w:val="24"/>
          <w:szCs w:val="24"/>
        </w:rPr>
        <w:t xml:space="preserve">    </w:t>
      </w:r>
      <w:r w:rsidRPr="00C63BCF">
        <w:rPr>
          <w:rFonts w:ascii="Times New Roman" w:hAnsi="Times New Roman" w:hint="eastAsia"/>
          <w:color w:val="000000"/>
          <w:kern w:val="0"/>
          <w:sz w:val="24"/>
          <w:szCs w:val="24"/>
        </w:rPr>
        <w:t>本报告并非宣传推介材料，所载内容仅供</w:t>
      </w:r>
      <w:r w:rsidRPr="00C63BCF">
        <w:rPr>
          <w:rFonts w:ascii="Times New Roman" w:hAnsi="Times New Roman" w:hint="eastAsia"/>
          <w:color w:val="000000"/>
          <w:kern w:val="0"/>
          <w:sz w:val="24"/>
          <w:szCs w:val="24"/>
        </w:rPr>
        <w:t>本资产</w:t>
      </w:r>
      <w:r w:rsidRPr="00C63BCF">
        <w:rPr>
          <w:rFonts w:ascii="Times New Roman" w:hAnsi="Times New Roman" w:hint="eastAsia"/>
          <w:color w:val="000000"/>
          <w:kern w:val="0"/>
          <w:sz w:val="24"/>
          <w:szCs w:val="24"/>
        </w:rPr>
        <w:t>管理计划</w:t>
      </w:r>
    </w:p>
    <w:p w:rsidR="00C63BCF" w:rsidRPr="00C63BCF" w:rsidP="00C63BCF" w14:paraId="642C1675" w14:textId="77777777">
      <w:pPr>
        <w:autoSpaceDE w:val="0"/>
        <w:autoSpaceDN w:val="0"/>
        <w:adjustRightInd w:val="0"/>
        <w:spacing w:before="30" w:line="288" w:lineRule="auto"/>
        <w:ind w:left="15"/>
        <w:jc w:val="left"/>
        <w:rPr>
          <w:rFonts w:ascii="Times New Roman" w:hAnsi="Times New Roman"/>
          <w:color w:val="000000"/>
          <w:kern w:val="0"/>
          <w:sz w:val="24"/>
          <w:szCs w:val="24"/>
        </w:rPr>
      </w:pPr>
      <w:r w:rsidRPr="00C63BCF">
        <w:rPr>
          <w:rFonts w:ascii="Times New Roman" w:hAnsi="Times New Roman" w:hint="eastAsia"/>
          <w:color w:val="000000"/>
          <w:kern w:val="0"/>
          <w:sz w:val="24"/>
          <w:szCs w:val="24"/>
        </w:rPr>
        <w:t>客户参考。任何人不得对本报告进行任何形式的发布、复制或</w:t>
      </w:r>
    </w:p>
    <w:p w:rsidR="00C63BCF" w:rsidRPr="00C63BCF" w:rsidP="00C63BCF" w14:paraId="0A6660CC" w14:textId="77777777">
      <w:pPr>
        <w:autoSpaceDE w:val="0"/>
        <w:autoSpaceDN w:val="0"/>
        <w:adjustRightInd w:val="0"/>
        <w:spacing w:before="30" w:line="288" w:lineRule="auto"/>
        <w:ind w:left="15"/>
        <w:jc w:val="left"/>
        <w:rPr>
          <w:rFonts w:ascii="Times New Roman" w:hAnsi="Times New Roman"/>
          <w:color w:val="000000"/>
          <w:kern w:val="0"/>
          <w:sz w:val="24"/>
          <w:szCs w:val="24"/>
        </w:rPr>
      </w:pPr>
      <w:r w:rsidRPr="00C63BCF">
        <w:rPr>
          <w:rFonts w:ascii="Times New Roman" w:hAnsi="Times New Roman" w:hint="eastAsia"/>
          <w:color w:val="000000"/>
          <w:kern w:val="0"/>
          <w:sz w:val="24"/>
          <w:szCs w:val="24"/>
        </w:rPr>
        <w:t>删改，否则将构成侵权。</w:t>
      </w:r>
    </w:p>
    <w:p w:rsidR="00C63BCF" w:rsidRPr="00C63BCF" w:rsidP="00C63BCF" w14:paraId="149C20DE" w14:textId="77777777">
      <w:pPr>
        <w:autoSpaceDE w:val="0"/>
        <w:autoSpaceDN w:val="0"/>
        <w:adjustRightInd w:val="0"/>
        <w:spacing w:before="30" w:line="288" w:lineRule="auto"/>
        <w:ind w:left="15"/>
        <w:jc w:val="left"/>
        <w:rPr>
          <w:rFonts w:ascii="Times New Roman" w:hAnsi="Times New Roman"/>
          <w:color w:val="000000"/>
          <w:kern w:val="0"/>
          <w:sz w:val="24"/>
          <w:szCs w:val="24"/>
        </w:rPr>
      </w:pPr>
      <w:r w:rsidRPr="00C63BCF">
        <w:rPr>
          <w:rFonts w:ascii="Times New Roman" w:hAnsi="Times New Roman"/>
          <w:color w:val="000000"/>
          <w:kern w:val="0"/>
          <w:sz w:val="24"/>
          <w:szCs w:val="24"/>
        </w:rPr>
        <w:t xml:space="preserve">    </w:t>
      </w:r>
      <w:r w:rsidRPr="00C63BCF">
        <w:rPr>
          <w:rFonts w:ascii="Times New Roman" w:hAnsi="Times New Roman" w:hint="eastAsia"/>
          <w:color w:val="000000"/>
          <w:kern w:val="0"/>
          <w:sz w:val="24"/>
          <w:szCs w:val="24"/>
        </w:rPr>
        <w:t>投资有风险，请理性选择。资产管理人承诺以诚实信用、</w:t>
      </w:r>
    </w:p>
    <w:p w:rsidR="00C63BCF" w:rsidRPr="00C63BCF" w:rsidP="00C63BCF" w14:paraId="44A5A550" w14:textId="77777777">
      <w:pPr>
        <w:autoSpaceDE w:val="0"/>
        <w:autoSpaceDN w:val="0"/>
        <w:adjustRightInd w:val="0"/>
        <w:spacing w:before="30" w:line="288" w:lineRule="auto"/>
        <w:ind w:left="15"/>
        <w:jc w:val="left"/>
        <w:rPr>
          <w:rFonts w:ascii="Times New Roman" w:hAnsi="Times New Roman"/>
          <w:color w:val="000000"/>
          <w:kern w:val="0"/>
          <w:sz w:val="24"/>
          <w:szCs w:val="24"/>
        </w:rPr>
      </w:pPr>
      <w:r w:rsidRPr="00C63BCF">
        <w:rPr>
          <w:rFonts w:ascii="Times New Roman" w:hAnsi="Times New Roman" w:hint="eastAsia"/>
          <w:color w:val="000000"/>
          <w:kern w:val="0"/>
          <w:sz w:val="24"/>
          <w:szCs w:val="24"/>
        </w:rPr>
        <w:t>勤勉尽责的原则管理和运用委托资产，但不保证</w:t>
      </w:r>
      <w:r w:rsidRPr="00C63BCF">
        <w:rPr>
          <w:rFonts w:ascii="Times New Roman" w:hAnsi="Times New Roman" w:hint="eastAsia"/>
          <w:color w:val="000000"/>
          <w:kern w:val="0"/>
          <w:sz w:val="24"/>
          <w:szCs w:val="24"/>
        </w:rPr>
        <w:t>本资产</w:t>
      </w:r>
      <w:r w:rsidRPr="00C63BCF">
        <w:rPr>
          <w:rFonts w:ascii="Times New Roman" w:hAnsi="Times New Roman" w:hint="eastAsia"/>
          <w:color w:val="000000"/>
          <w:kern w:val="0"/>
          <w:sz w:val="24"/>
          <w:szCs w:val="24"/>
        </w:rPr>
        <w:t>管理计</w:t>
      </w:r>
    </w:p>
    <w:p w:rsidR="00C63BCF" w:rsidRPr="00C63BCF" w:rsidP="00C63BCF" w14:paraId="21C3BE8A" w14:textId="77777777">
      <w:pPr>
        <w:autoSpaceDE w:val="0"/>
        <w:autoSpaceDN w:val="0"/>
        <w:adjustRightInd w:val="0"/>
        <w:spacing w:before="30" w:line="288" w:lineRule="auto"/>
        <w:ind w:left="15"/>
        <w:jc w:val="left"/>
        <w:rPr>
          <w:rFonts w:ascii="Times New Roman" w:hAnsi="Times New Roman"/>
          <w:color w:val="000000"/>
          <w:kern w:val="0"/>
          <w:sz w:val="24"/>
          <w:szCs w:val="24"/>
        </w:rPr>
      </w:pPr>
      <w:r w:rsidRPr="00C63BCF">
        <w:rPr>
          <w:rFonts w:ascii="Times New Roman" w:hAnsi="Times New Roman" w:hint="eastAsia"/>
          <w:color w:val="000000"/>
          <w:kern w:val="0"/>
          <w:sz w:val="24"/>
          <w:szCs w:val="24"/>
        </w:rPr>
        <w:t>划一定盈利，也不保证最低收益。</w:t>
      </w:r>
      <w:r w:rsidRPr="00C63BCF">
        <w:rPr>
          <w:rFonts w:ascii="Times New Roman" w:hAnsi="Times New Roman" w:hint="eastAsia"/>
          <w:color w:val="000000"/>
          <w:kern w:val="0"/>
          <w:sz w:val="24"/>
          <w:szCs w:val="24"/>
        </w:rPr>
        <w:t>本资产</w:t>
      </w:r>
      <w:r w:rsidRPr="00C63BCF">
        <w:rPr>
          <w:rFonts w:ascii="Times New Roman" w:hAnsi="Times New Roman" w:hint="eastAsia"/>
          <w:color w:val="000000"/>
          <w:kern w:val="0"/>
          <w:sz w:val="24"/>
          <w:szCs w:val="24"/>
        </w:rPr>
        <w:t>管理计划的过往业绩</w:t>
      </w:r>
    </w:p>
    <w:p w:rsidR="00C63BCF" w:rsidRPr="00C63BCF" w:rsidP="00C63BCF" w14:paraId="6D716AC1" w14:textId="77777777">
      <w:pPr>
        <w:autoSpaceDE w:val="0"/>
        <w:autoSpaceDN w:val="0"/>
        <w:adjustRightInd w:val="0"/>
        <w:spacing w:before="30" w:line="288" w:lineRule="auto"/>
        <w:ind w:left="15"/>
        <w:jc w:val="left"/>
        <w:rPr>
          <w:rFonts w:ascii="Times New Roman" w:hAnsi="Times New Roman"/>
          <w:color w:val="000000"/>
          <w:kern w:val="0"/>
          <w:sz w:val="24"/>
          <w:szCs w:val="24"/>
        </w:rPr>
      </w:pPr>
      <w:r w:rsidRPr="00C63BCF">
        <w:rPr>
          <w:rFonts w:ascii="Times New Roman" w:hAnsi="Times New Roman" w:hint="eastAsia"/>
          <w:color w:val="000000"/>
          <w:kern w:val="0"/>
          <w:sz w:val="24"/>
          <w:szCs w:val="24"/>
        </w:rPr>
        <w:t>及净值高低并不预示其未来业绩表现，管理人管理的其他投资</w:t>
      </w:r>
    </w:p>
    <w:p w:rsidR="00C63BCF" w:rsidRPr="00C63BCF" w:rsidP="00C63BCF" w14:paraId="331957EA" w14:textId="77777777">
      <w:pPr>
        <w:autoSpaceDE w:val="0"/>
        <w:autoSpaceDN w:val="0"/>
        <w:adjustRightInd w:val="0"/>
        <w:spacing w:before="30" w:line="288" w:lineRule="auto"/>
        <w:ind w:left="15"/>
        <w:jc w:val="left"/>
        <w:rPr>
          <w:rFonts w:ascii="Times New Roman" w:hAnsi="Times New Roman"/>
          <w:color w:val="000000"/>
          <w:kern w:val="0"/>
          <w:sz w:val="24"/>
          <w:szCs w:val="24"/>
        </w:rPr>
      </w:pPr>
      <w:r w:rsidRPr="00C63BCF">
        <w:rPr>
          <w:rFonts w:ascii="Times New Roman" w:hAnsi="Times New Roman" w:hint="eastAsia"/>
          <w:color w:val="000000"/>
          <w:kern w:val="0"/>
          <w:sz w:val="24"/>
          <w:szCs w:val="24"/>
        </w:rPr>
        <w:t>组合的业绩也不构成</w:t>
      </w:r>
      <w:r w:rsidRPr="00C63BCF">
        <w:rPr>
          <w:rFonts w:ascii="Times New Roman" w:hAnsi="Times New Roman" w:hint="eastAsia"/>
          <w:color w:val="000000"/>
          <w:kern w:val="0"/>
          <w:sz w:val="24"/>
          <w:szCs w:val="24"/>
        </w:rPr>
        <w:t>本资产</w:t>
      </w:r>
      <w:r w:rsidRPr="00C63BCF">
        <w:rPr>
          <w:rFonts w:ascii="Times New Roman" w:hAnsi="Times New Roman" w:hint="eastAsia"/>
          <w:color w:val="000000"/>
          <w:kern w:val="0"/>
          <w:sz w:val="24"/>
          <w:szCs w:val="24"/>
        </w:rPr>
        <w:t>管理计划业绩表现的保证。本资产</w:t>
      </w:r>
    </w:p>
    <w:p w:rsidR="00C63BCF" w:rsidRPr="00C63BCF" w:rsidP="00C63BCF" w14:paraId="6E4E71C3" w14:textId="77777777">
      <w:pPr>
        <w:autoSpaceDE w:val="0"/>
        <w:autoSpaceDN w:val="0"/>
        <w:adjustRightInd w:val="0"/>
        <w:spacing w:before="30" w:line="288" w:lineRule="auto"/>
        <w:ind w:left="15"/>
        <w:jc w:val="left"/>
        <w:rPr>
          <w:rFonts w:ascii="Times New Roman" w:hAnsi="Times New Roman"/>
          <w:color w:val="000000"/>
          <w:kern w:val="0"/>
          <w:sz w:val="24"/>
          <w:szCs w:val="24"/>
        </w:rPr>
      </w:pPr>
      <w:r w:rsidRPr="00C63BCF">
        <w:rPr>
          <w:rFonts w:ascii="Times New Roman" w:hAnsi="Times New Roman" w:hint="eastAsia"/>
          <w:color w:val="000000"/>
          <w:kern w:val="0"/>
          <w:sz w:val="24"/>
          <w:szCs w:val="24"/>
        </w:rPr>
        <w:t>管理计划的具体情况以法律文件为准，请详细阅读。</w:t>
      </w:r>
    </w:p>
    <w:p w:rsidR="005376F3" w:rsidP="005376F3" w14:paraId="526F4A2A" w14:textId="4B4DA4DB">
      <w:pPr>
        <w:autoSpaceDE w:val="0"/>
        <w:autoSpaceDN w:val="0"/>
        <w:adjustRightInd w:val="0"/>
        <w:spacing w:line="288" w:lineRule="auto"/>
        <w:jc w:val="left"/>
        <w:rPr>
          <w:rFonts w:ascii="MS Sans Serif" w:hAnsi="MS Sans Serif"/>
          <w:noProof/>
          <w:color w:val="000000"/>
          <w:kern w:val="0"/>
          <w:sz w:val="24"/>
          <w:szCs w:val="24"/>
        </w:rPr>
      </w:pPr>
      <w:r w:rsidRPr="000C6310">
        <w:rPr>
          <w:rFonts w:ascii="MS Sans Serif" w:hAnsi="MS Sans Serif"/>
          <w:noProof/>
          <w:color w:val="000000"/>
          <w:kern w:val="0"/>
          <w:sz w:val="24"/>
          <w:szCs w:val="24"/>
        </w:rPr>
        <w:drawing>
          <wp:inline distT="0" distB="0" distL="0" distR="0">
            <wp:extent cx="182880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28800" cy="457200"/>
                    </a:xfrm>
                    <a:prstGeom prst="rect">
                      <a:avLst/>
                    </a:prstGeom>
                    <a:noFill/>
                    <a:ln>
                      <a:noFill/>
                    </a:ln>
                  </pic:spPr>
                </pic:pic>
              </a:graphicData>
            </a:graphic>
          </wp:inline>
        </w:drawing>
      </w:r>
    </w:p>
    <w:p w:rsidR="005376F3" w:rsidP="005376F3" w14:paraId="127CFEB5" w14:textId="77777777">
      <w:pPr>
        <w:spacing w:before="29" w:line="288" w:lineRule="auto"/>
        <w:ind w:left="15"/>
        <w:jc w:val="left"/>
        <w:rPr>
          <w:rFonts w:ascii="宋体" w:cs="宋体"/>
          <w:color w:val="000000"/>
          <w:sz w:val="24"/>
          <w:szCs w:val="24"/>
        </w:rPr>
      </w:pPr>
      <w:r>
        <w:rPr>
          <w:rFonts w:ascii="宋体" w:hAnsi="宋体" w:cs="宋体" w:hint="eastAsia"/>
          <w:color w:val="000000"/>
          <w:sz w:val="24"/>
          <w:szCs w:val="24"/>
        </w:rPr>
        <w:t>创金合</w:t>
      </w:r>
      <w:r>
        <w:rPr>
          <w:rFonts w:ascii="宋体" w:hAnsi="宋体" w:cs="宋体" w:hint="eastAsia"/>
          <w:color w:val="000000"/>
          <w:sz w:val="24"/>
          <w:szCs w:val="24"/>
        </w:rPr>
        <w:t>信基金管理有限公司</w:t>
      </w:r>
    </w:p>
    <w:p w:rsidR="005376F3" w:rsidP="005376F3" w14:paraId="60442A3D" w14:textId="3808CD21">
      <w:pPr>
        <w:spacing w:before="29" w:line="288" w:lineRule="auto"/>
        <w:ind w:left="15"/>
        <w:jc w:val="left"/>
        <w:rPr>
          <w:rFonts w:ascii="宋体" w:cs="宋体"/>
          <w:color w:val="000000"/>
          <w:sz w:val="24"/>
          <w:szCs w:val="24"/>
        </w:rPr>
      </w:pPr>
      <w:r>
        <w:rPr>
          <w:rFonts w:ascii="宋体" w:cs="宋体" w:hint="eastAsia"/>
          <w:color w:val="000000"/>
          <w:sz w:val="24"/>
          <w:szCs w:val="24"/>
        </w:rPr>
        <w:t>地址：</w:t>
      </w:r>
      <w:r w:rsidRPr="00347107" w:rsidR="00347107">
        <w:rPr>
          <w:rFonts w:ascii="宋体" w:cs="宋体"/>
          <w:color w:val="000000"/>
          <w:sz w:val="24"/>
          <w:szCs w:val="24"/>
        </w:rPr>
        <w:t>中国广东省深圳市前海深港合作区南山街道梦海大道5035华润前海大厦A座36-38楼</w:t>
      </w:r>
    </w:p>
    <w:p w:rsidR="005376F3" w:rsidP="005376F3" w14:paraId="321540C0" w14:textId="77777777">
      <w:pPr>
        <w:spacing w:before="29" w:line="288" w:lineRule="auto"/>
        <w:ind w:left="15"/>
        <w:jc w:val="left"/>
        <w:rPr>
          <w:rFonts w:ascii="宋体" w:cs="宋体"/>
          <w:color w:val="000000"/>
          <w:sz w:val="24"/>
          <w:szCs w:val="24"/>
        </w:rPr>
      </w:pPr>
      <w:r>
        <w:rPr>
          <w:rFonts w:ascii="宋体" w:cs="宋体" w:hint="eastAsia"/>
          <w:color w:val="000000"/>
          <w:sz w:val="24"/>
          <w:szCs w:val="24"/>
        </w:rPr>
        <w:t>邮编：</w:t>
      </w:r>
      <w:r>
        <w:rPr>
          <w:rFonts w:ascii="宋体" w:hAnsi="宋体" w:cs="宋体"/>
          <w:color w:val="000000"/>
          <w:sz w:val="24"/>
          <w:szCs w:val="24"/>
        </w:rPr>
        <w:t>518000</w:t>
      </w:r>
    </w:p>
    <w:p w:rsidR="005376F3" w:rsidP="005376F3" w14:paraId="7461D060" w14:textId="77777777">
      <w:pPr>
        <w:spacing w:before="29" w:line="288" w:lineRule="auto"/>
        <w:ind w:left="15"/>
        <w:jc w:val="left"/>
        <w:rPr>
          <w:rFonts w:ascii="宋体" w:cs="宋体"/>
          <w:color w:val="000000"/>
          <w:sz w:val="24"/>
          <w:szCs w:val="24"/>
        </w:rPr>
      </w:pPr>
      <w:r>
        <w:rPr>
          <w:rFonts w:ascii="宋体" w:cs="宋体" w:hint="eastAsia"/>
          <w:color w:val="000000"/>
          <w:sz w:val="24"/>
          <w:szCs w:val="24"/>
        </w:rPr>
        <w:t>客服电话：</w:t>
      </w:r>
      <w:r>
        <w:rPr>
          <w:rFonts w:ascii="宋体" w:hAnsi="宋体" w:cs="宋体"/>
          <w:color w:val="000000"/>
          <w:sz w:val="24"/>
          <w:szCs w:val="24"/>
        </w:rPr>
        <w:t>400-868-0666</w:t>
      </w:r>
    </w:p>
    <w:p w:rsidR="005376F3" w:rsidP="005376F3" w14:paraId="6783EFC7" w14:textId="77777777">
      <w:pPr>
        <w:spacing w:before="29" w:line="288" w:lineRule="auto"/>
        <w:ind w:left="15"/>
        <w:jc w:val="left"/>
        <w:rPr>
          <w:rFonts w:ascii="宋体" w:cs="宋体"/>
          <w:color w:val="000000"/>
          <w:sz w:val="24"/>
          <w:szCs w:val="24"/>
        </w:rPr>
      </w:pPr>
      <w:r>
        <w:rPr>
          <w:rFonts w:ascii="宋体" w:cs="宋体" w:hint="eastAsia"/>
          <w:color w:val="000000"/>
          <w:sz w:val="24"/>
          <w:szCs w:val="24"/>
        </w:rPr>
        <w:t>传真：</w:t>
      </w:r>
      <w:r>
        <w:rPr>
          <w:rFonts w:ascii="宋体" w:hAnsi="宋体" w:cs="宋体"/>
          <w:color w:val="000000"/>
          <w:sz w:val="24"/>
          <w:szCs w:val="24"/>
        </w:rPr>
        <w:t>0755-25832571</w:t>
      </w:r>
    </w:p>
    <w:p w:rsidR="005376F3" w:rsidP="005376F3" w14:paraId="4B929DB4" w14:textId="77777777">
      <w:pPr>
        <w:spacing w:before="29" w:line="288" w:lineRule="auto"/>
        <w:ind w:left="15"/>
        <w:jc w:val="left"/>
        <w:rPr>
          <w:rFonts w:ascii="宋体" w:cs="宋体"/>
          <w:color w:val="000000"/>
          <w:sz w:val="24"/>
          <w:szCs w:val="24"/>
        </w:rPr>
      </w:pPr>
      <w:r>
        <w:rPr>
          <w:rFonts w:ascii="宋体" w:cs="宋体" w:hint="eastAsia"/>
          <w:color w:val="000000"/>
          <w:sz w:val="24"/>
          <w:szCs w:val="24"/>
        </w:rPr>
        <w:t>公司网站：</w:t>
      </w:r>
      <w:r>
        <w:rPr>
          <w:rFonts w:ascii="宋体" w:hAnsi="宋体" w:cs="宋体"/>
          <w:color w:val="000000"/>
          <w:sz w:val="24"/>
          <w:szCs w:val="24"/>
        </w:rPr>
        <w:t>www.cjhxfund.com</w:t>
      </w:r>
    </w:p>
    <w:p w:rsidR="005376F3" w:rsidP="005376F3" w14:paraId="52B8D842" w14:textId="77777777">
      <w:pPr>
        <w:spacing w:before="29" w:line="288" w:lineRule="auto"/>
        <w:ind w:left="15"/>
        <w:jc w:val="left"/>
        <w:rPr>
          <w:rFonts w:ascii="宋体" w:cs="宋体"/>
          <w:color w:val="000000"/>
          <w:sz w:val="24"/>
          <w:szCs w:val="24"/>
        </w:rPr>
      </w:pPr>
      <w:r>
        <w:rPr>
          <w:rFonts w:ascii="宋体" w:cs="宋体" w:hint="eastAsia"/>
          <w:color w:val="000000"/>
          <w:sz w:val="24"/>
          <w:szCs w:val="24"/>
        </w:rPr>
        <w:t>电子邮箱：</w:t>
      </w:r>
      <w:r w:rsidRPr="00F26EA5">
        <w:rPr>
          <w:rFonts w:ascii="宋体" w:cs="宋体"/>
          <w:color w:val="000000"/>
          <w:sz w:val="24"/>
          <w:szCs w:val="24"/>
        </w:rPr>
        <w:t>cjkf@cjhxfund.com</w:t>
      </w:r>
    </w:p>
    <w:sectPr w:rsidSect="00353EE6">
      <w:pgSz w:w="16867" w:h="11926" w:orient="landscape"/>
      <w:pgMar w:top="1418" w:right="1418" w:bottom="1418" w:left="851" w:header="851" w:footer="99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Segoe Print"/>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3EE6" w14:paraId="02BD3CE5" w14:textId="77777777">
    <w:pPr>
      <w:pStyle w:val="Footer"/>
      <w:jc w:val="center"/>
      <w:rPr>
        <w:rFonts w:ascii="宋体" w:hAnsi="宋体" w:cs="宋体"/>
      </w:rPr>
    </w:pPr>
    <w:r>
      <w:rPr>
        <w:rFonts w:ascii="宋体"/>
        <w:sz w:val="24"/>
        <w:szCs w:val="24"/>
      </w:rPr>
      <w:t xml:space="preserve"> </w:t>
    </w:r>
    <w:r>
      <w:rPr>
        <w:rFonts w:ascii="宋体" w:hAnsi="宋体" w:cs="宋体" w:hint="eastAsia"/>
        <w:szCs w:val="21"/>
      </w:rPr>
      <w:t>第</w:t>
    </w:r>
    <w:r>
      <w:rPr>
        <w:rFonts w:ascii="宋体" w:hAnsi="宋体" w:cs="宋体"/>
        <w:szCs w:val="21"/>
      </w:rPr>
      <w:t xml:space="preserve"> </w:t>
    </w:r>
    <w:r w:rsidR="000C6310">
      <w:rPr>
        <w:rFonts w:ascii="宋体" w:hAnsi="宋体" w:cs="宋体"/>
        <w:szCs w:val="21"/>
      </w:rPr>
      <w:fldChar w:fldCharType="begin"/>
    </w:r>
    <w:r>
      <w:rPr>
        <w:rFonts w:ascii="宋体" w:hAnsi="宋体" w:cs="宋体"/>
        <w:szCs w:val="21"/>
      </w:rPr>
      <w:instrText xml:space="preserve"> PAGE </w:instrText>
    </w:r>
    <w:r w:rsidR="000C6310">
      <w:rPr>
        <w:rFonts w:ascii="宋体" w:hAnsi="宋体" w:cs="宋体"/>
        <w:szCs w:val="21"/>
      </w:rPr>
      <w:fldChar w:fldCharType="separate"/>
    </w:r>
    <w:r>
      <w:rPr>
        <w:rFonts w:ascii="宋体" w:hAnsi="宋体" w:cs="宋体"/>
        <w:szCs w:val="21"/>
      </w:rPr>
      <w:t>11</w:t>
    </w:r>
    <w:r w:rsidR="000C6310">
      <w:rPr>
        <w:rFonts w:ascii="宋体" w:hAnsi="宋体" w:cs="宋体"/>
        <w:szCs w:val="21"/>
      </w:rPr>
      <w:fldChar w:fldCharType="end"/>
    </w:r>
    <w:r>
      <w:rPr>
        <w:rFonts w:ascii="宋体" w:hAnsi="宋体" w:cs="宋体"/>
        <w:szCs w:val="21"/>
      </w:rPr>
      <w:t xml:space="preserve"> </w:t>
    </w:r>
    <w:r>
      <w:rPr>
        <w:rFonts w:ascii="宋体" w:hAnsi="宋体" w:cs="宋体" w:hint="eastAsia"/>
        <w:szCs w:val="21"/>
      </w:rPr>
      <w:t>页</w:t>
    </w:r>
    <w:r>
      <w:rPr>
        <w:rFonts w:ascii="宋体" w:hAnsi="宋体" w:cs="宋体"/>
        <w:szCs w:val="21"/>
      </w:rPr>
      <w:t xml:space="preserve"> </w:t>
    </w:r>
    <w:r>
      <w:rPr>
        <w:rFonts w:ascii="宋体" w:hAnsi="宋体" w:cs="宋体" w:hint="eastAsia"/>
        <w:szCs w:val="21"/>
      </w:rPr>
      <w:t>共</w:t>
    </w:r>
    <w:r>
      <w:rPr>
        <w:rFonts w:ascii="宋体" w:hAnsi="宋体" w:cs="宋体"/>
        <w:szCs w:val="21"/>
      </w:rPr>
      <w:t xml:space="preserve"> </w:t>
    </w:r>
    <w:r w:rsidR="000C6310">
      <w:rPr>
        <w:rFonts w:ascii="宋体" w:hAnsi="宋体" w:cs="宋体"/>
        <w:szCs w:val="21"/>
      </w:rPr>
      <w:fldChar w:fldCharType="begin"/>
    </w:r>
    <w:r>
      <w:rPr>
        <w:rFonts w:ascii="宋体" w:hAnsi="宋体" w:cs="宋体"/>
        <w:szCs w:val="21"/>
      </w:rPr>
      <w:instrText xml:space="preserve"> NUMPAGES </w:instrText>
    </w:r>
    <w:r w:rsidR="000C6310">
      <w:rPr>
        <w:rFonts w:ascii="宋体" w:hAnsi="宋体" w:cs="宋体"/>
        <w:szCs w:val="21"/>
      </w:rPr>
      <w:fldChar w:fldCharType="separate"/>
    </w:r>
    <w:r>
      <w:rPr>
        <w:rFonts w:ascii="宋体" w:hAnsi="宋体" w:cs="宋体"/>
        <w:szCs w:val="21"/>
      </w:rPr>
      <w:t>11</w:t>
    </w:r>
    <w:r w:rsidR="000C6310">
      <w:rPr>
        <w:rFonts w:ascii="宋体" w:hAnsi="宋体" w:cs="宋体"/>
        <w:szCs w:val="21"/>
      </w:rPr>
      <w:fldChar w:fldCharType="end"/>
    </w:r>
    <w:r>
      <w:rPr>
        <w:rFonts w:ascii="宋体" w:hAnsi="宋体" w:cs="宋体"/>
        <w:szCs w:val="21"/>
      </w:rPr>
      <w:t xml:space="preserve"> </w:t>
    </w:r>
    <w:r>
      <w:rPr>
        <w:rFonts w:ascii="宋体" w:hAnsi="宋体" w:cs="宋体" w:hint="eastAsia"/>
        <w:szCs w:val="21"/>
      </w:rPr>
      <w:t>页</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3EE6" w14:paraId="7E17C35E" w14:textId="48B2F2FE">
    <w:pPr>
      <w:autoSpaceDE w:val="0"/>
      <w:autoSpaceDN w:val="0"/>
      <w:adjustRightInd w:val="0"/>
      <w:spacing w:before="30" w:line="211" w:lineRule="exact"/>
      <w:ind w:left="15"/>
      <w:jc w:val="right"/>
      <w:rPr>
        <w:rFonts w:ascii="宋体" w:cs="宋体"/>
        <w:color w:val="000000"/>
        <w:kern w:val="0"/>
        <w:szCs w:val="21"/>
      </w:rPr>
    </w:pPr>
    <w:r w:rsidR="001E621F">
      <w:rPr>
        <w:rFonts w:ascii="宋体" w:cs="宋体"/>
        <w:noProof/>
        <w:color w:val="000000"/>
        <w:kern w:val="0"/>
        <w:szCs w:val="21"/>
      </w:rPr>
      <w:t>创金合信湖州银行1号单一资产管理计划</w:t>
    </w:r>
    <w:r w:rsidR="001E621F">
      <w:rPr>
        <w:rFonts w:ascii="宋体" w:cs="宋体"/>
        <w:noProof/>
        <w:color w:val="000000"/>
        <w:kern w:val="0"/>
        <w:szCs w:val="21"/>
      </w:rPr>
      <w:t>2023</w:t>
    </w:r>
    <w:r>
      <w:rPr>
        <w:rFonts w:ascii="宋体" w:cs="宋体"/>
        <w:color w:val="000000"/>
        <w:kern w:val="0"/>
        <w:szCs w:val="21"/>
      </w:rPr>
      <w:t>年</w:t>
    </w:r>
    <w:r w:rsidR="00E87FE8">
      <w:rPr>
        <w:rFonts w:ascii="宋体" w:cs="宋体" w:hint="eastAsia"/>
        <w:color w:val="000000"/>
        <w:kern w:val="0"/>
        <w:szCs w:val="21"/>
      </w:rPr>
      <w:t>第</w:t>
    </w:r>
    <w:r w:rsidR="00E87FE8">
      <w:rPr>
        <w:rFonts w:ascii="宋体" w:cs="宋体"/>
        <w:noProof/>
        <w:color w:val="000000"/>
        <w:kern w:val="0"/>
        <w:szCs w:val="21"/>
      </w:rPr>
      <w:t>4</w:t>
    </w:r>
    <w:r w:rsidR="00E87FE8">
      <w:rPr>
        <w:rFonts w:ascii="宋体" w:cs="宋体" w:hint="eastAsia"/>
        <w:color w:val="000000"/>
        <w:kern w:val="0"/>
        <w:szCs w:val="21"/>
      </w:rPr>
      <w:t>季</w:t>
    </w:r>
    <w:r>
      <w:rPr>
        <w:rFonts w:ascii="宋体" w:cs="宋体"/>
        <w:color w:val="000000"/>
        <w:kern w:val="0"/>
        <w:szCs w:val="21"/>
      </w:rPr>
      <w:t>度</w:t>
    </w:r>
    <w:r>
      <w:rPr>
        <w:rFonts w:ascii="宋体" w:cs="宋体" w:hint="eastAsia"/>
        <w:color w:val="000000"/>
        <w:kern w:val="0"/>
        <w:szCs w:val="21"/>
      </w:rPr>
      <w:t>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95"/>
    <w:rsid w:val="00006ADF"/>
    <w:rsid w:val="000077FB"/>
    <w:rsid w:val="00031A87"/>
    <w:rsid w:val="00047C59"/>
    <w:rsid w:val="00052CA4"/>
    <w:rsid w:val="000806C7"/>
    <w:rsid w:val="000A64AC"/>
    <w:rsid w:val="000A67E2"/>
    <w:rsid w:val="000C6310"/>
    <w:rsid w:val="000D4520"/>
    <w:rsid w:val="000D7000"/>
    <w:rsid w:val="0011746F"/>
    <w:rsid w:val="00140D8F"/>
    <w:rsid w:val="00163C12"/>
    <w:rsid w:val="00173FC3"/>
    <w:rsid w:val="001767BD"/>
    <w:rsid w:val="001A739C"/>
    <w:rsid w:val="001B468C"/>
    <w:rsid w:val="001D0A5E"/>
    <w:rsid w:val="001E621F"/>
    <w:rsid w:val="001F606B"/>
    <w:rsid w:val="002028D9"/>
    <w:rsid w:val="00211932"/>
    <w:rsid w:val="00212E70"/>
    <w:rsid w:val="00214ADF"/>
    <w:rsid w:val="00224D31"/>
    <w:rsid w:val="00225C10"/>
    <w:rsid w:val="00232F9B"/>
    <w:rsid w:val="00243449"/>
    <w:rsid w:val="00262A19"/>
    <w:rsid w:val="00274FB9"/>
    <w:rsid w:val="002965E6"/>
    <w:rsid w:val="002A5ED3"/>
    <w:rsid w:val="002D13B7"/>
    <w:rsid w:val="002D36B2"/>
    <w:rsid w:val="002D6759"/>
    <w:rsid w:val="002D7CBB"/>
    <w:rsid w:val="002F30B6"/>
    <w:rsid w:val="0030673D"/>
    <w:rsid w:val="00326F27"/>
    <w:rsid w:val="0033415D"/>
    <w:rsid w:val="003364AA"/>
    <w:rsid w:val="003450C7"/>
    <w:rsid w:val="00347107"/>
    <w:rsid w:val="00353EE6"/>
    <w:rsid w:val="00356EF0"/>
    <w:rsid w:val="00381BCE"/>
    <w:rsid w:val="00381BF7"/>
    <w:rsid w:val="003840A5"/>
    <w:rsid w:val="003B4223"/>
    <w:rsid w:val="003D05DD"/>
    <w:rsid w:val="003F2CAF"/>
    <w:rsid w:val="004009E0"/>
    <w:rsid w:val="00442347"/>
    <w:rsid w:val="00443188"/>
    <w:rsid w:val="00472BAC"/>
    <w:rsid w:val="00484A34"/>
    <w:rsid w:val="004A678E"/>
    <w:rsid w:val="004B2ED8"/>
    <w:rsid w:val="004B5144"/>
    <w:rsid w:val="004C20DA"/>
    <w:rsid w:val="00506EE9"/>
    <w:rsid w:val="00512C53"/>
    <w:rsid w:val="00521C95"/>
    <w:rsid w:val="00526AEA"/>
    <w:rsid w:val="005376F3"/>
    <w:rsid w:val="00552B09"/>
    <w:rsid w:val="005A3E04"/>
    <w:rsid w:val="005C311F"/>
    <w:rsid w:val="005C3FF2"/>
    <w:rsid w:val="005D7BE3"/>
    <w:rsid w:val="00613F74"/>
    <w:rsid w:val="00622C96"/>
    <w:rsid w:val="006240E0"/>
    <w:rsid w:val="00626CAB"/>
    <w:rsid w:val="00646EF4"/>
    <w:rsid w:val="00652505"/>
    <w:rsid w:val="00655956"/>
    <w:rsid w:val="006574B1"/>
    <w:rsid w:val="0066137F"/>
    <w:rsid w:val="00664519"/>
    <w:rsid w:val="00677A46"/>
    <w:rsid w:val="006918BB"/>
    <w:rsid w:val="006B3711"/>
    <w:rsid w:val="006F2263"/>
    <w:rsid w:val="006F6BA3"/>
    <w:rsid w:val="00702B94"/>
    <w:rsid w:val="0070621C"/>
    <w:rsid w:val="00710775"/>
    <w:rsid w:val="00711593"/>
    <w:rsid w:val="00730DA7"/>
    <w:rsid w:val="007477D0"/>
    <w:rsid w:val="0075734B"/>
    <w:rsid w:val="007653F8"/>
    <w:rsid w:val="00765B6A"/>
    <w:rsid w:val="007723FD"/>
    <w:rsid w:val="007743CB"/>
    <w:rsid w:val="00781C3D"/>
    <w:rsid w:val="0079457F"/>
    <w:rsid w:val="007A2E25"/>
    <w:rsid w:val="007A574A"/>
    <w:rsid w:val="007E4F95"/>
    <w:rsid w:val="00806095"/>
    <w:rsid w:val="00820CE7"/>
    <w:rsid w:val="00821323"/>
    <w:rsid w:val="00834DCF"/>
    <w:rsid w:val="00847FF0"/>
    <w:rsid w:val="00854889"/>
    <w:rsid w:val="008571EC"/>
    <w:rsid w:val="008A4FAB"/>
    <w:rsid w:val="008D5D85"/>
    <w:rsid w:val="008E6CBC"/>
    <w:rsid w:val="008F3571"/>
    <w:rsid w:val="0090069A"/>
    <w:rsid w:val="00933B5B"/>
    <w:rsid w:val="00942412"/>
    <w:rsid w:val="00947216"/>
    <w:rsid w:val="00951CBC"/>
    <w:rsid w:val="00997745"/>
    <w:rsid w:val="009A4759"/>
    <w:rsid w:val="009B3507"/>
    <w:rsid w:val="00A00CD7"/>
    <w:rsid w:val="00A24651"/>
    <w:rsid w:val="00A24EB9"/>
    <w:rsid w:val="00A26EDE"/>
    <w:rsid w:val="00A30F23"/>
    <w:rsid w:val="00A40A59"/>
    <w:rsid w:val="00A5172E"/>
    <w:rsid w:val="00A5342E"/>
    <w:rsid w:val="00A62E5E"/>
    <w:rsid w:val="00A6629B"/>
    <w:rsid w:val="00A7686D"/>
    <w:rsid w:val="00AA5F9A"/>
    <w:rsid w:val="00AB1E37"/>
    <w:rsid w:val="00AB54D7"/>
    <w:rsid w:val="00AB554E"/>
    <w:rsid w:val="00AC005F"/>
    <w:rsid w:val="00AC0A2C"/>
    <w:rsid w:val="00AC4C0B"/>
    <w:rsid w:val="00AC698D"/>
    <w:rsid w:val="00B2586B"/>
    <w:rsid w:val="00B34CAA"/>
    <w:rsid w:val="00B40720"/>
    <w:rsid w:val="00B57919"/>
    <w:rsid w:val="00B711A1"/>
    <w:rsid w:val="00B94A66"/>
    <w:rsid w:val="00BC29F4"/>
    <w:rsid w:val="00BD00A7"/>
    <w:rsid w:val="00BE5425"/>
    <w:rsid w:val="00BF2FE2"/>
    <w:rsid w:val="00C23658"/>
    <w:rsid w:val="00C32C5C"/>
    <w:rsid w:val="00C559E3"/>
    <w:rsid w:val="00C60DE2"/>
    <w:rsid w:val="00C63BCF"/>
    <w:rsid w:val="00C732C3"/>
    <w:rsid w:val="00C770C2"/>
    <w:rsid w:val="00C83832"/>
    <w:rsid w:val="00CA63DF"/>
    <w:rsid w:val="00CB1417"/>
    <w:rsid w:val="00CC7A64"/>
    <w:rsid w:val="00CD095C"/>
    <w:rsid w:val="00CD58EA"/>
    <w:rsid w:val="00D1215D"/>
    <w:rsid w:val="00D24E89"/>
    <w:rsid w:val="00D345D7"/>
    <w:rsid w:val="00D52F30"/>
    <w:rsid w:val="00D62603"/>
    <w:rsid w:val="00D852DA"/>
    <w:rsid w:val="00D91FF5"/>
    <w:rsid w:val="00D9435C"/>
    <w:rsid w:val="00DA048A"/>
    <w:rsid w:val="00DA12F8"/>
    <w:rsid w:val="00DB0530"/>
    <w:rsid w:val="00DD1C5A"/>
    <w:rsid w:val="00DD249D"/>
    <w:rsid w:val="00DD64D3"/>
    <w:rsid w:val="00DF698B"/>
    <w:rsid w:val="00E02195"/>
    <w:rsid w:val="00E24482"/>
    <w:rsid w:val="00E27643"/>
    <w:rsid w:val="00E87FE8"/>
    <w:rsid w:val="00ED43CA"/>
    <w:rsid w:val="00EE242E"/>
    <w:rsid w:val="00EF28DA"/>
    <w:rsid w:val="00F0605A"/>
    <w:rsid w:val="00F26EA5"/>
    <w:rsid w:val="00F43347"/>
    <w:rsid w:val="00F56C85"/>
    <w:rsid w:val="00F833F6"/>
    <w:rsid w:val="00F86F6F"/>
    <w:rsid w:val="00F9718D"/>
    <w:rsid w:val="00FB61DC"/>
    <w:rsid w:val="00FC5360"/>
    <w:rsid w:val="00FD2B98"/>
    <w:rsid w:val="00FE4D8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41E1BD3F"/>
  <w15:docId w15:val="{604288D5-076A-4E5C-8B34-58AF2782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5C3FF2"/>
    <w:pPr>
      <w:widowControl w:val="0"/>
      <w:jc w:val="both"/>
    </w:pPr>
    <w:rPr>
      <w:kern w:val="2"/>
      <w:sz w:val="21"/>
      <w:szCs w:val="22"/>
    </w:rPr>
  </w:style>
  <w:style w:type="paragraph" w:styleId="Heading1">
    <w:name w:val="heading 1"/>
    <w:basedOn w:val="Normal"/>
    <w:next w:val="Normal"/>
    <w:link w:val="1"/>
    <w:qFormat/>
    <w:rsid w:val="00B34CAA"/>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标题 1 字符"/>
    <w:link w:val="Heading1"/>
    <w:locked/>
    <w:rsid w:val="00B34CAA"/>
    <w:rPr>
      <w:rFonts w:cs="Times New Roman"/>
      <w:b/>
      <w:bCs/>
      <w:kern w:val="44"/>
      <w:sz w:val="44"/>
      <w:szCs w:val="44"/>
    </w:rPr>
  </w:style>
  <w:style w:type="paragraph" w:styleId="Header">
    <w:name w:val="header"/>
    <w:basedOn w:val="Normal"/>
    <w:link w:val="a"/>
    <w:rsid w:val="00E02195"/>
    <w:pPr>
      <w:pBdr>
        <w:bottom w:val="single" w:sz="6" w:space="1" w:color="auto"/>
      </w:pBdr>
      <w:tabs>
        <w:tab w:val="center" w:pos="4153"/>
        <w:tab w:val="right" w:pos="8306"/>
      </w:tabs>
      <w:snapToGrid w:val="0"/>
      <w:jc w:val="center"/>
    </w:pPr>
    <w:rPr>
      <w:kern w:val="0"/>
      <w:sz w:val="18"/>
      <w:szCs w:val="18"/>
    </w:rPr>
  </w:style>
  <w:style w:type="character" w:customStyle="1" w:styleId="a">
    <w:name w:val="页眉 字符"/>
    <w:link w:val="Header"/>
    <w:locked/>
    <w:rsid w:val="00E02195"/>
    <w:rPr>
      <w:rFonts w:cs="Times New Roman"/>
      <w:sz w:val="18"/>
      <w:szCs w:val="18"/>
    </w:rPr>
  </w:style>
  <w:style w:type="paragraph" w:styleId="Footer">
    <w:name w:val="footer"/>
    <w:basedOn w:val="Normal"/>
    <w:link w:val="a0"/>
    <w:rsid w:val="00E02195"/>
    <w:pPr>
      <w:tabs>
        <w:tab w:val="center" w:pos="4153"/>
        <w:tab w:val="right" w:pos="8306"/>
      </w:tabs>
      <w:snapToGrid w:val="0"/>
      <w:jc w:val="left"/>
    </w:pPr>
    <w:rPr>
      <w:kern w:val="0"/>
      <w:sz w:val="18"/>
      <w:szCs w:val="18"/>
    </w:rPr>
  </w:style>
  <w:style w:type="character" w:customStyle="1" w:styleId="a0">
    <w:name w:val="页脚 字符"/>
    <w:link w:val="Footer"/>
    <w:locked/>
    <w:rsid w:val="00E02195"/>
    <w:rPr>
      <w:rFonts w:cs="Times New Roman"/>
      <w:sz w:val="18"/>
      <w:szCs w:val="18"/>
    </w:rPr>
  </w:style>
  <w:style w:type="paragraph" w:styleId="TOCHeading">
    <w:name w:val="TOC Heading"/>
    <w:basedOn w:val="Heading1"/>
    <w:next w:val="Normal"/>
    <w:qFormat/>
    <w:rsid w:val="00B34CAA"/>
    <w:pPr>
      <w:widowControl/>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rsid w:val="00B34CAA"/>
    <w:pPr>
      <w:spacing w:line="240" w:lineRule="auto"/>
    </w:pPr>
    <w:rPr>
      <w:sz w:val="22"/>
    </w:rPr>
  </w:style>
  <w:style w:type="paragraph" w:styleId="TOC2">
    <w:name w:val="toc 2"/>
    <w:basedOn w:val="Normal"/>
    <w:next w:val="Normal"/>
    <w:autoRedefine/>
    <w:rsid w:val="00B34CAA"/>
    <w:pPr>
      <w:spacing w:line="240" w:lineRule="auto"/>
      <w:ind w:left="420" w:leftChars="200"/>
    </w:pPr>
    <w:rPr>
      <w:sz w:val="22"/>
    </w:rPr>
  </w:style>
  <w:style w:type="character" w:styleId="Hyperlink">
    <w:name w:val="Hyperlink"/>
    <w:rsid w:val="00B34CAA"/>
    <w:rPr>
      <w:rFonts w:cs="Times New Roman"/>
      <w:color w:val="0000FF"/>
      <w:u w:val="single"/>
    </w:rPr>
  </w:style>
  <w:style w:type="character" w:styleId="CommentReference">
    <w:name w:val="annotation reference"/>
    <w:rsid w:val="008571EC"/>
    <w:rPr>
      <w:sz w:val="21"/>
      <w:szCs w:val="21"/>
    </w:rPr>
  </w:style>
  <w:style w:type="paragraph" w:styleId="CommentText">
    <w:name w:val="annotation text"/>
    <w:basedOn w:val="Normal"/>
    <w:link w:val="a1"/>
    <w:rsid w:val="008571EC"/>
    <w:pPr>
      <w:jc w:val="left"/>
    </w:pPr>
  </w:style>
  <w:style w:type="character" w:customStyle="1" w:styleId="a1">
    <w:name w:val="批注文字 字符"/>
    <w:link w:val="CommentText"/>
    <w:rsid w:val="008571EC"/>
    <w:rPr>
      <w:kern w:val="2"/>
      <w:sz w:val="21"/>
      <w:szCs w:val="22"/>
    </w:rPr>
  </w:style>
  <w:style w:type="paragraph" w:styleId="BalloonText">
    <w:name w:val="Balloon Text"/>
    <w:basedOn w:val="Normal"/>
    <w:link w:val="a2"/>
    <w:rsid w:val="008571EC"/>
    <w:rPr>
      <w:sz w:val="18"/>
      <w:szCs w:val="18"/>
    </w:rPr>
  </w:style>
  <w:style w:type="character" w:customStyle="1" w:styleId="a2">
    <w:name w:val="批注框文本 字符"/>
    <w:link w:val="BalloonText"/>
    <w:rsid w:val="008571EC"/>
    <w:rPr>
      <w:kern w:val="2"/>
      <w:sz w:val="18"/>
      <w:szCs w:val="18"/>
    </w:rPr>
  </w:style>
  <w:style w:type="table" w:styleId="TableGrid">
    <w:name w:val="Table Grid"/>
    <w:basedOn w:val="TableNormal"/>
    <w:rsid w:val="00A6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
    <w:name w:val="div"/>
    <w:basedOn w:val="Normal"/>
    <w:pPr>
      <w:pBdr>
        <w:top w:val="none" w:sz="0" w:space="0" w:color="auto"/>
        <w:left w:val="none" w:sz="0" w:space="0" w:color="auto"/>
        <w:bottom w:val="none" w:sz="0" w:space="0" w:color="auto"/>
        <w:right w:val="none" w:sz="0" w:space="0" w:color="auto"/>
      </w:pBdr>
    </w:pPr>
  </w:style>
  <w:style w:type="character" w:customStyle="1" w:styleId="custom">
    <w:name w:val="custom"/>
    <w:basedOn w:val="DefaultParagraphFont"/>
  </w:style>
  <w:style w:type="table" w:customStyle="1" w:styleId="table">
    <w:name w:val="table"/>
    <w:basedOn w:val="TableNormal"/>
    <w:tblPr/>
  </w:style>
  <w:style w:type="character" w:customStyle="1" w:styleId="divCharacter">
    <w:name w:val="div Character"/>
    <w:basedOn w:val="DefaultParagraphFont"/>
  </w:style>
  <w:style w:type="paragraph" w:customStyle="1" w:styleId="p">
    <w:name w:val="p"/>
    <w:basedOn w:val="Normal"/>
    <w:pPr>
      <w:pBdr>
        <w:top w:val="none" w:sz="0" w:space="0" w:color="auto"/>
        <w:left w:val="none" w:sz="0" w:space="0" w:color="auto"/>
        <w:bottom w:val="none" w:sz="0" w:space="0" w:color="auto"/>
        <w:right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image" Target="media/image1.jpe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2022-02-18T11:10:00Z</dcterms:created>
  <dcterms:modified xsi:type="dcterms:W3CDTF">2022-11-17T06:59:00Z</dcterms:modified>
</cp:coreProperties>
</file>