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D80DC" w14:textId="77777777" w:rsidR="00EC0E90" w:rsidRDefault="00EC0E90">
      <w:pPr>
        <w:pStyle w:val="aa"/>
      </w:pPr>
    </w:p>
    <w:p w14:paraId="4A154579" w14:textId="77777777" w:rsidR="00EC0E90" w:rsidRDefault="00EC0E90">
      <w:pPr>
        <w:ind w:firstLine="640"/>
      </w:pPr>
    </w:p>
    <w:p w14:paraId="2D170CB9" w14:textId="77777777" w:rsidR="00EC0E90" w:rsidRDefault="009135C4">
      <w:pPr>
        <w:snapToGrid w:val="0"/>
        <w:spacing w:before="240" w:afterLines="30" w:after="93" w:line="360" w:lineRule="auto"/>
        <w:ind w:firstLineChars="0" w:firstLine="0"/>
        <w:jc w:val="center"/>
        <w:rPr>
          <w:rFonts w:ascii="方正黑体简体" w:eastAsia="方正黑体简体" w:hAnsi="Calibri"/>
          <w:color w:val="auto"/>
          <w:kern w:val="2"/>
          <w:sz w:val="36"/>
          <w:szCs w:val="22"/>
        </w:rPr>
      </w:pPr>
      <w:r w:rsidRPr="00A2175C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南银理财珠联璧合鑫逸稳三个月136期封闭式公募人民币理财产品</w:t>
      </w:r>
      <w:r>
        <w:rPr>
          <w:rFonts w:ascii="方正黑体简体" w:eastAsia="方正黑体简体" w:hAnsi="Calibri" w:hint="eastAsia"/>
          <w:color w:val="auto"/>
          <w:kern w:val="2"/>
          <w:sz w:val="36"/>
          <w:szCs w:val="22"/>
        </w:rPr>
        <w:t>到期公告</w:t>
      </w:r>
    </w:p>
    <w:p w14:paraId="684FDFE9" w14:textId="77777777" w:rsidR="00EC0E90" w:rsidRDefault="00EC0E90">
      <w:pPr>
        <w:ind w:firstLine="640"/>
      </w:pPr>
    </w:p>
    <w:p w14:paraId="5B4DCB27" w14:textId="77777777" w:rsidR="00EC0E90" w:rsidRDefault="009135C4">
      <w:pPr>
        <w:spacing w:beforeLines="20" w:before="62" w:afterLines="20" w:after="62" w:line="240" w:lineRule="auto"/>
        <w:ind w:firstLineChars="0" w:firstLine="0"/>
        <w:jc w:val="left"/>
        <w:rPr>
          <w:rFonts w:ascii="方正仿宋简体" w:eastAsia="方正仿宋简体" w:hAnsi="Times New Roman"/>
          <w:color w:val="auto"/>
          <w:kern w:val="2"/>
          <w:sz w:val="24"/>
          <w:szCs w:val="24"/>
        </w:rPr>
      </w:pP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>尊敬的投资者：</w:t>
      </w:r>
    </w:p>
    <w:p w14:paraId="52778B62" w14:textId="77777777" w:rsidR="00EC0E90" w:rsidRDefault="009135C4">
      <w:pPr>
        <w:spacing w:beforeLines="20" w:before="62" w:afterLines="20" w:after="62" w:line="240" w:lineRule="auto"/>
        <w:ind w:firstLine="480"/>
        <w:jc w:val="left"/>
        <w:rPr>
          <w:rFonts w:ascii="方正仿宋简体" w:eastAsia="方正仿宋简体" w:hAnsi="Times New Roman"/>
          <w:color w:val="auto"/>
          <w:kern w:val="2"/>
          <w:sz w:val="24"/>
          <w:szCs w:val="24"/>
        </w:rPr>
      </w:pP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 xml:space="preserve">本公司发行的 </w:t>
      </w:r>
      <w:r w:rsidRPr="00A2175C">
        <w:rPr>
          <w:rFonts w:ascii="方正仿宋简体" w:eastAsia="方正仿宋简体" w:hAnsi="方正仿宋简体"/>
          <w:color w:val="auto"/>
          <w:sz w:val="24"/>
          <w:u w:val="single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 xml:space="preserve"> 已到期，现将相关信息公告如下：</w:t>
      </w:r>
    </w:p>
    <w:p w14:paraId="4F2AFDE0" w14:textId="77777777" w:rsidR="00EC0E90" w:rsidRDefault="00EC0E90">
      <w:pPr>
        <w:ind w:firstLine="640"/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1963"/>
        <w:gridCol w:w="1930"/>
        <w:gridCol w:w="2955"/>
      </w:tblGrid>
      <w:tr w:rsidR="00EC0E90" w14:paraId="70B78137" w14:textId="77777777">
        <w:tc>
          <w:tcPr>
            <w:tcW w:w="3264" w:type="pct"/>
            <w:gridSpan w:val="3"/>
            <w:vAlign w:val="center"/>
          </w:tcPr>
          <w:p w14:paraId="3F5A5AF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产品名称</w:t>
            </w:r>
          </w:p>
        </w:tc>
        <w:tc>
          <w:tcPr>
            <w:tcW w:w="1735" w:type="pct"/>
            <w:vAlign w:val="center"/>
          </w:tcPr>
          <w:p w14:paraId="08604804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南银理财珠联璧合鑫逸稳三个月136期封闭式公募人民币理财产品</w:t>
            </w:r>
          </w:p>
        </w:tc>
      </w:tr>
      <w:tr w:rsidR="00EC0E90" w14:paraId="022F953F" w14:textId="77777777">
        <w:tc>
          <w:tcPr>
            <w:tcW w:w="3264" w:type="pct"/>
            <w:gridSpan w:val="3"/>
            <w:vAlign w:val="center"/>
          </w:tcPr>
          <w:p w14:paraId="4AE50AEC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产品代码</w:t>
            </w:r>
          </w:p>
        </w:tc>
        <w:tc>
          <w:tcPr>
            <w:tcW w:w="1735" w:type="pct"/>
            <w:vAlign w:val="center"/>
          </w:tcPr>
          <w:p w14:paraId="4FE0E7F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ZZ700322600146</w:t>
            </w:r>
          </w:p>
        </w:tc>
      </w:tr>
      <w:tr w:rsidR="00EC0E90" w14:paraId="755EDC4C" w14:textId="77777777">
        <w:tc>
          <w:tcPr>
            <w:tcW w:w="3264" w:type="pct"/>
            <w:gridSpan w:val="3"/>
            <w:vAlign w:val="center"/>
          </w:tcPr>
          <w:p w14:paraId="767D534C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产品登记编码</w:t>
            </w:r>
          </w:p>
        </w:tc>
        <w:tc>
          <w:tcPr>
            <w:tcW w:w="1735" w:type="pct"/>
            <w:vAlign w:val="center"/>
          </w:tcPr>
          <w:p w14:paraId="40F17A68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Z7003226000157</w:t>
            </w:r>
          </w:p>
          <w:p w14:paraId="0AF1B2A3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（可在中国</w:t>
            </w:r>
            <w:proofErr w:type="gramStart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理财网</w:t>
            </w:r>
            <w:proofErr w:type="gramEnd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www.chinawealth.com.cn查询产品信息）</w:t>
            </w:r>
          </w:p>
        </w:tc>
      </w:tr>
      <w:tr w:rsidR="00EC0E90" w14:paraId="1254F895" w14:textId="77777777">
        <w:tc>
          <w:tcPr>
            <w:tcW w:w="3264" w:type="pct"/>
            <w:gridSpan w:val="3"/>
            <w:vAlign w:val="center"/>
          </w:tcPr>
          <w:p w14:paraId="53363B9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产品成立日期</w:t>
            </w:r>
          </w:p>
        </w:tc>
        <w:tc>
          <w:tcPr>
            <w:tcW w:w="1735" w:type="pct"/>
            <w:vAlign w:val="center"/>
          </w:tcPr>
          <w:p w14:paraId="6298933A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2026年06月03日</w:t>
            </w:r>
          </w:p>
        </w:tc>
      </w:tr>
      <w:tr w:rsidR="00EC0E90" w14:paraId="0366DF33" w14:textId="77777777">
        <w:tc>
          <w:tcPr>
            <w:tcW w:w="3264" w:type="pct"/>
            <w:gridSpan w:val="3"/>
            <w:vAlign w:val="center"/>
          </w:tcPr>
          <w:p w14:paraId="60D11DCE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产品终止日期</w:t>
            </w:r>
          </w:p>
        </w:tc>
        <w:tc>
          <w:tcPr>
            <w:tcW w:w="1735" w:type="pct"/>
            <w:vAlign w:val="center"/>
          </w:tcPr>
          <w:p w14:paraId="5171521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2026年09月10日</w:t>
            </w:r>
          </w:p>
        </w:tc>
      </w:tr>
      <w:tr w:rsidR="00EC0E90" w14:paraId="1EEFC5C0" w14:textId="77777777">
        <w:tc>
          <w:tcPr>
            <w:tcW w:w="3264" w:type="pct"/>
            <w:gridSpan w:val="3"/>
            <w:vAlign w:val="center"/>
          </w:tcPr>
          <w:p w14:paraId="1C8D6CC3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存续期限</w:t>
            </w:r>
          </w:p>
        </w:tc>
        <w:tc>
          <w:tcPr>
            <w:tcW w:w="1735" w:type="pct"/>
            <w:vAlign w:val="center"/>
          </w:tcPr>
          <w:p w14:paraId="78924862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99天</w:t>
            </w:r>
          </w:p>
        </w:tc>
      </w:tr>
      <w:tr w:rsidR="00EC0E90" w14:paraId="19F4B5B1" w14:textId="77777777">
        <w:tc>
          <w:tcPr>
            <w:tcW w:w="3264" w:type="pct"/>
            <w:gridSpan w:val="3"/>
            <w:vAlign w:val="center"/>
          </w:tcPr>
          <w:p w14:paraId="6F820AD3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lastRenderedPageBreak/>
              <w:t>募集币种</w:t>
            </w:r>
          </w:p>
        </w:tc>
        <w:tc>
          <w:tcPr>
            <w:tcW w:w="1735" w:type="pct"/>
            <w:vAlign w:val="center"/>
          </w:tcPr>
          <w:p w14:paraId="6AE623B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人民币</w:t>
            </w:r>
          </w:p>
        </w:tc>
      </w:tr>
      <w:tr w:rsidR="00EC0E90" w14:paraId="77ADAEBA" w14:textId="77777777">
        <w:tc>
          <w:tcPr>
            <w:tcW w:w="979" w:type="pct"/>
            <w:vMerge w:val="restart"/>
            <w:vAlign w:val="center"/>
          </w:tcPr>
          <w:p w14:paraId="5BEB002C" w14:textId="77777777" w:rsidR="00EC0E90" w:rsidRDefault="009135C4">
            <w:pPr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收益分配情况</w:t>
            </w:r>
          </w:p>
        </w:tc>
        <w:tc>
          <w:tcPr>
            <w:tcW w:w="2285" w:type="pct"/>
            <w:gridSpan w:val="2"/>
            <w:vAlign w:val="center"/>
          </w:tcPr>
          <w:p w14:paraId="61726CA7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产品终止日份额净值</w:t>
            </w:r>
          </w:p>
          <w:p w14:paraId="7DBF263F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（适用于非现金管理类理财产品）</w:t>
            </w:r>
          </w:p>
        </w:tc>
        <w:tc>
          <w:tcPr>
            <w:tcW w:w="1735" w:type="pct"/>
            <w:vAlign w:val="center"/>
          </w:tcPr>
          <w:p w14:paraId="292B2816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1.0042</w:t>
            </w:r>
          </w:p>
        </w:tc>
      </w:tr>
      <w:tr w:rsidR="00EC0E90" w14:paraId="5BF8127A" w14:textId="77777777">
        <w:tc>
          <w:tcPr>
            <w:tcW w:w="979" w:type="pct"/>
            <w:vMerge/>
            <w:vAlign w:val="center"/>
          </w:tcPr>
          <w:p w14:paraId="5D15147F" w14:textId="77777777" w:rsidR="00EC0E90" w:rsidRDefault="00EC0E90">
            <w:pPr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0CC040F4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产品终止日份额累计净值</w:t>
            </w:r>
          </w:p>
          <w:p w14:paraId="46888AEF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（适用于非现金管理类理财产品）</w:t>
            </w:r>
          </w:p>
        </w:tc>
        <w:tc>
          <w:tcPr>
            <w:tcW w:w="1735" w:type="pct"/>
            <w:vAlign w:val="center"/>
          </w:tcPr>
          <w:p w14:paraId="7F46D8CC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1.0042</w:t>
            </w:r>
          </w:p>
        </w:tc>
      </w:tr>
      <w:tr w:rsidR="00EC0E90" w14:paraId="4F7ABDDE" w14:textId="77777777">
        <w:tc>
          <w:tcPr>
            <w:tcW w:w="979" w:type="pct"/>
            <w:vMerge/>
            <w:vAlign w:val="center"/>
          </w:tcPr>
          <w:p w14:paraId="56E9C2A3" w14:textId="77777777" w:rsidR="00EC0E90" w:rsidRDefault="00EC0E90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60DCCBC4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产品终止日总份额</w:t>
            </w:r>
          </w:p>
          <w:p w14:paraId="11821544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（适用于现金管理类理财产品）</w:t>
            </w:r>
          </w:p>
        </w:tc>
        <w:tc>
          <w:tcPr>
            <w:tcW w:w="1735" w:type="pct"/>
            <w:vAlign w:val="center"/>
          </w:tcPr>
          <w:p w14:paraId="46769D3B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EC0E90" w14:paraId="1E60ED8F" w14:textId="77777777">
        <w:tc>
          <w:tcPr>
            <w:tcW w:w="979" w:type="pct"/>
            <w:vMerge w:val="restart"/>
            <w:vAlign w:val="center"/>
          </w:tcPr>
          <w:p w14:paraId="32D2DAE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主要收费情况</w:t>
            </w:r>
          </w:p>
        </w:tc>
        <w:tc>
          <w:tcPr>
            <w:tcW w:w="2285" w:type="pct"/>
            <w:gridSpan w:val="2"/>
            <w:vAlign w:val="center"/>
          </w:tcPr>
          <w:p w14:paraId="5E245696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固定管理费总额</w:t>
            </w:r>
          </w:p>
        </w:tc>
        <w:tc>
          <w:tcPr>
            <w:tcW w:w="1735" w:type="pct"/>
            <w:vAlign w:val="center"/>
          </w:tcPr>
          <w:p w14:paraId="331A98B4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12,478.60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EC0E90" w14:paraId="452610BE" w14:textId="77777777">
        <w:tc>
          <w:tcPr>
            <w:tcW w:w="979" w:type="pct"/>
            <w:vMerge/>
            <w:vAlign w:val="center"/>
          </w:tcPr>
          <w:p w14:paraId="07865B52" w14:textId="77777777" w:rsidR="00EC0E90" w:rsidRDefault="00EC0E90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486A207F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浮动管理费总额</w:t>
            </w:r>
          </w:p>
        </w:tc>
        <w:tc>
          <w:tcPr>
            <w:tcW w:w="1735" w:type="pct"/>
            <w:vAlign w:val="center"/>
          </w:tcPr>
          <w:p w14:paraId="2A6D7B7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4,121.81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EC0E90" w14:paraId="475C2497" w14:textId="77777777">
        <w:tc>
          <w:tcPr>
            <w:tcW w:w="979" w:type="pct"/>
            <w:vMerge/>
            <w:vAlign w:val="center"/>
          </w:tcPr>
          <w:p w14:paraId="605D2FAC" w14:textId="77777777" w:rsidR="00EC0E90" w:rsidRDefault="00EC0E90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71FAD3D7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托管费总额</w:t>
            </w:r>
          </w:p>
        </w:tc>
        <w:tc>
          <w:tcPr>
            <w:tcW w:w="1735" w:type="pct"/>
            <w:vAlign w:val="center"/>
          </w:tcPr>
          <w:p w14:paraId="3E9DD0B2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1,959.88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EC0E90" w14:paraId="764EBE62" w14:textId="77777777">
        <w:tc>
          <w:tcPr>
            <w:tcW w:w="979" w:type="pct"/>
            <w:vMerge/>
            <w:vAlign w:val="center"/>
          </w:tcPr>
          <w:p w14:paraId="34F48C39" w14:textId="77777777" w:rsidR="00EC0E90" w:rsidRDefault="00EC0E90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24B4389B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销售服务费总额</w:t>
            </w:r>
          </w:p>
        </w:tc>
        <w:tc>
          <w:tcPr>
            <w:tcW w:w="1735" w:type="pct"/>
            <w:vAlign w:val="center"/>
          </w:tcPr>
          <w:p w14:paraId="30EC5A3E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16,324.49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EC0E90" w14:paraId="042F6405" w14:textId="77777777">
        <w:tc>
          <w:tcPr>
            <w:tcW w:w="979" w:type="pct"/>
            <w:vAlign w:val="center"/>
          </w:tcPr>
          <w:p w14:paraId="45EAA8D7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份额代码</w:t>
            </w:r>
          </w:p>
        </w:tc>
        <w:tc>
          <w:tcPr>
            <w:tcW w:w="1152" w:type="pct"/>
            <w:vAlign w:val="center"/>
          </w:tcPr>
          <w:p w14:paraId="565C2808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28789246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份额净值</w:t>
            </w:r>
          </w:p>
          <w:p w14:paraId="34905954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20BFB373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非现金管理类</w:t>
            </w:r>
          </w:p>
          <w:p w14:paraId="755404A3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  <w:tc>
          <w:tcPr>
            <w:tcW w:w="1133" w:type="pct"/>
            <w:vAlign w:val="center"/>
          </w:tcPr>
          <w:p w14:paraId="3342D47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25DD4E11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份额累计净值</w:t>
            </w:r>
          </w:p>
          <w:p w14:paraId="3608B98B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07C2DB65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非现金管理类</w:t>
            </w:r>
          </w:p>
          <w:p w14:paraId="5967799F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  <w:tc>
          <w:tcPr>
            <w:tcW w:w="1735" w:type="pct"/>
            <w:vAlign w:val="center"/>
          </w:tcPr>
          <w:p w14:paraId="71B1B0FC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48DFA6C9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总份额</w:t>
            </w:r>
          </w:p>
          <w:p w14:paraId="470E54F2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0BDD9F49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现金管理类</w:t>
            </w:r>
          </w:p>
          <w:p w14:paraId="50345F0D" w14:textId="77777777" w:rsidR="00EC0E90" w:rsidRDefault="009135C4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</w:tr>
      <w:tr w:rsidR="00EC0E90" w14:paraId="5483B6C6" w14:textId="77777777">
        <w:tc>
          <w:tcPr>
            <w:tcW w:w="979" w:type="pct"/>
          </w:tcPr>
          <w:p w14:paraId="291CD5AE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NYXY000889</w:t>
            </w:r>
          </w:p>
        </w:tc>
        <w:tc>
          <w:tcPr>
            <w:tcW w:w="1152" w:type="pct"/>
          </w:tcPr>
          <w:p w14:paraId="523E4116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1.0041</w:t>
            </w:r>
          </w:p>
        </w:tc>
        <w:tc>
          <w:tcPr>
            <w:tcW w:w="1133" w:type="pct"/>
          </w:tcPr>
          <w:p w14:paraId="3953D0C5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1.0041</w:t>
            </w:r>
          </w:p>
        </w:tc>
        <w:tc>
          <w:tcPr>
            <w:tcW w:w="1735" w:type="pct"/>
          </w:tcPr>
          <w:p w14:paraId="5F7CDEFF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EC0E90" w14:paraId="77D28793" w14:textId="77777777">
        <w:tc>
          <w:tcPr>
            <w:tcW w:w="979" w:type="pct"/>
          </w:tcPr>
          <w:p w14:paraId="5C07B779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NYXY000890</w:t>
            </w:r>
          </w:p>
        </w:tc>
        <w:tc>
          <w:tcPr>
            <w:tcW w:w="1152" w:type="pct"/>
          </w:tcPr>
          <w:p w14:paraId="2F168C3A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1.0044</w:t>
            </w:r>
          </w:p>
        </w:tc>
        <w:tc>
          <w:tcPr>
            <w:tcW w:w="1133" w:type="pct"/>
          </w:tcPr>
          <w:p w14:paraId="0F0E5CCC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1.0044</w:t>
            </w:r>
          </w:p>
        </w:tc>
        <w:tc>
          <w:tcPr>
            <w:tcW w:w="1735" w:type="pct"/>
          </w:tcPr>
          <w:p w14:paraId="350ABBC7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EC0E90" w14:paraId="3B68A51B" w14:textId="77777777">
        <w:tc>
          <w:tcPr>
            <w:tcW w:w="979" w:type="pct"/>
          </w:tcPr>
          <w:p w14:paraId="62A7FAC7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NYXY000891</w:t>
            </w:r>
          </w:p>
        </w:tc>
        <w:tc>
          <w:tcPr>
            <w:tcW w:w="1152" w:type="pct"/>
          </w:tcPr>
          <w:p w14:paraId="614C7F2E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1.0046</w:t>
            </w:r>
          </w:p>
        </w:tc>
        <w:tc>
          <w:tcPr>
            <w:tcW w:w="1133" w:type="pct"/>
          </w:tcPr>
          <w:p w14:paraId="4EB7EE36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1.0046</w:t>
            </w:r>
          </w:p>
        </w:tc>
        <w:tc>
          <w:tcPr>
            <w:tcW w:w="1735" w:type="pct"/>
          </w:tcPr>
          <w:p w14:paraId="013A7A0B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EC0E90" w14:paraId="6F1547FF" w14:textId="77777777">
        <w:tc>
          <w:tcPr>
            <w:tcW w:w="979" w:type="pct"/>
          </w:tcPr>
          <w:p w14:paraId="3892BDA0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lastRenderedPageBreak/>
              <w:t>NYXY000893</w:t>
            </w:r>
          </w:p>
        </w:tc>
        <w:tc>
          <w:tcPr>
            <w:tcW w:w="1152" w:type="pct"/>
          </w:tcPr>
          <w:p w14:paraId="708166A2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1.0041</w:t>
            </w:r>
          </w:p>
        </w:tc>
        <w:tc>
          <w:tcPr>
            <w:tcW w:w="1133" w:type="pct"/>
          </w:tcPr>
          <w:p w14:paraId="2F4B47F1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1.0041</w:t>
            </w:r>
          </w:p>
        </w:tc>
        <w:tc>
          <w:tcPr>
            <w:tcW w:w="1735" w:type="pct"/>
          </w:tcPr>
          <w:p w14:paraId="7613C263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EC0E90" w14:paraId="003A02B3" w14:textId="77777777">
        <w:tc>
          <w:tcPr>
            <w:tcW w:w="979" w:type="pct"/>
          </w:tcPr>
          <w:p w14:paraId="1E78018B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NYXY000894</w:t>
            </w:r>
          </w:p>
        </w:tc>
        <w:tc>
          <w:tcPr>
            <w:tcW w:w="1152" w:type="pct"/>
          </w:tcPr>
          <w:p w14:paraId="7CDFE75E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1.0048</w:t>
            </w:r>
          </w:p>
        </w:tc>
        <w:tc>
          <w:tcPr>
            <w:tcW w:w="1133" w:type="pct"/>
          </w:tcPr>
          <w:p w14:paraId="34BBF1FE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1.0048</w:t>
            </w:r>
          </w:p>
        </w:tc>
        <w:tc>
          <w:tcPr>
            <w:tcW w:w="1735" w:type="pct"/>
          </w:tcPr>
          <w:p w14:paraId="293F6608" w14:textId="77777777" w:rsidR="00EC0E90" w:rsidRDefault="009135C4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</w:tbl>
    <w:p w14:paraId="4C862C92" w14:textId="77777777" w:rsidR="00EC0E90" w:rsidRDefault="009135C4">
      <w:pPr>
        <w:pStyle w:val="ab"/>
        <w:ind w:firstLine="56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t>NYXY000889，到期日2026年09月10日；NYXY000890，到期日2026年09月10日；NYXY000891，到期日2026年09月10日；NYXY000893，到期日2026年09月10日；NYXY000894，到期日2026年09月10日。本理财产品已于终止日向客户兑付，上述终止日数据为实际兑付情况，清算资金将划转至投资者指定账户，具体到账日期以产品说明书为准。自产品终止日起，清算过程中各项利息及费用与实际结算金额的尾差（如有）由管理人承担。</w:t>
      </w:r>
    </w:p>
    <w:p w14:paraId="5268C8F0" w14:textId="77777777" w:rsidR="00EC0E90" w:rsidRDefault="009135C4">
      <w:pPr>
        <w:pStyle w:val="ab"/>
        <w:ind w:firstLineChars="0" w:firstLine="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t>注：1.本到期公告披露的相关净值数据已由理财产品托管人复核。</w:t>
      </w:r>
    </w:p>
    <w:p w14:paraId="18F176A2" w14:textId="77777777" w:rsidR="00EC0E90" w:rsidRDefault="009135C4">
      <w:pPr>
        <w:pStyle w:val="ab"/>
        <w:ind w:firstLine="56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的份额净值、份额累计净值不完全一致。</w:t>
      </w:r>
    </w:p>
    <w:p w14:paraId="0260D75B" w14:textId="77777777" w:rsidR="00EC0E90" w:rsidRDefault="00EC0E90">
      <w:pPr>
        <w:ind w:firstLine="640"/>
        <w:rPr>
          <w:rFonts w:ascii="方正仿宋简体" w:eastAsia="方正仿宋简体"/>
        </w:rPr>
      </w:pPr>
    </w:p>
    <w:p w14:paraId="583281DE" w14:textId="77777777" w:rsidR="00EC0E90" w:rsidRDefault="009135C4">
      <w:pPr>
        <w:ind w:firstLine="640"/>
        <w:rPr>
          <w:rFonts w:ascii="方正仿宋简体" w:eastAsia="方正仿宋简体"/>
        </w:rPr>
      </w:pPr>
      <w:r>
        <w:rPr>
          <w:rFonts w:ascii="方正仿宋简体" w:eastAsia="方正仿宋简体" w:hint="eastAsia"/>
        </w:rPr>
        <w:t>特此公告。</w:t>
      </w:r>
    </w:p>
    <w:p w14:paraId="24AD0A41" w14:textId="77777777" w:rsidR="00EC0E90" w:rsidRDefault="009135C4">
      <w:pPr>
        <w:ind w:firstLine="640"/>
        <w:jc w:val="right"/>
        <w:rPr>
          <w:rFonts w:ascii="方正仿宋简体" w:eastAsia="方正仿宋简体"/>
        </w:rPr>
      </w:pPr>
      <w:r>
        <w:rPr>
          <w:rFonts w:ascii="方正仿宋简体" w:eastAsia="方正仿宋简体" w:hint="eastAsia"/>
        </w:rPr>
        <w:t>南银理财有限责任公司</w:t>
      </w:r>
    </w:p>
    <w:p w14:paraId="1D6F199C" w14:textId="77777777" w:rsidR="00EC0E90" w:rsidRDefault="009135C4">
      <w:pPr>
        <w:ind w:firstLine="640"/>
        <w:jc w:val="right"/>
        <w:rPr>
          <w:rFonts w:ascii="方正仿宋简体" w:eastAsia="方正仿宋简体"/>
        </w:rPr>
      </w:pPr>
      <w:r>
        <w:rPr>
          <w:rFonts w:ascii="方正仿宋简体" w:eastAsia="方正仿宋简体" w:hint="eastAsia"/>
        </w:rPr>
        <w:t>2026年09月10日</w:t>
      </w:r>
    </w:p>
    <w:sectPr w:rsidR="00EC0E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FE1A6" w14:textId="77777777" w:rsidR="00414762" w:rsidRDefault="00414762">
      <w:pPr>
        <w:spacing w:line="240" w:lineRule="auto"/>
        <w:ind w:firstLine="640"/>
      </w:pPr>
      <w:r>
        <w:separator/>
      </w:r>
    </w:p>
  </w:endnote>
  <w:endnote w:type="continuationSeparator" w:id="0">
    <w:p w14:paraId="1FE1A276" w14:textId="77777777" w:rsidR="00414762" w:rsidRDefault="0041476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charset w:val="86"/>
    <w:family w:val="modern"/>
    <w:pitch w:val="default"/>
    <w:sig w:usb0="00000000" w:usb1="00000000" w:usb2="00000010" w:usb3="00000000" w:csb0="00160005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E813" w14:textId="77777777" w:rsidR="00EC0E90" w:rsidRDefault="00EC0E9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44A54" w14:textId="77777777" w:rsidR="00EC0E90" w:rsidRDefault="00EC0E9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0BB9E" w14:textId="77777777" w:rsidR="00EC0E90" w:rsidRDefault="00EC0E9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431AA" w14:textId="77777777" w:rsidR="00414762" w:rsidRDefault="00414762">
      <w:pPr>
        <w:spacing w:line="240" w:lineRule="auto"/>
        <w:ind w:firstLine="640"/>
      </w:pPr>
      <w:r>
        <w:separator/>
      </w:r>
    </w:p>
  </w:footnote>
  <w:footnote w:type="continuationSeparator" w:id="0">
    <w:p w14:paraId="15480B3A" w14:textId="77777777" w:rsidR="00414762" w:rsidRDefault="0041476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CC44" w14:textId="77777777" w:rsidR="00EC0E90" w:rsidRDefault="00EC0E90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3D48" w14:textId="77777777" w:rsidR="00EC0E90" w:rsidRDefault="00EC0E90">
    <w:pPr>
      <w:pStyle w:val="a7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10E1B" w14:textId="77777777" w:rsidR="00EC0E90" w:rsidRDefault="00EC0E90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F65"/>
    <w:rsid w:val="001F2A31"/>
    <w:rsid w:val="001F4836"/>
    <w:rsid w:val="00313900"/>
    <w:rsid w:val="00414762"/>
    <w:rsid w:val="0069772A"/>
    <w:rsid w:val="00760430"/>
    <w:rsid w:val="009135C4"/>
    <w:rsid w:val="009215DC"/>
    <w:rsid w:val="00A2175C"/>
    <w:rsid w:val="00A273D7"/>
    <w:rsid w:val="00AE3DE4"/>
    <w:rsid w:val="00BE6C5B"/>
    <w:rsid w:val="00EC0E90"/>
    <w:rsid w:val="00FD26A3"/>
    <w:rsid w:val="00FE7F65"/>
    <w:rsid w:val="1BFD4300"/>
    <w:rsid w:val="244E7344"/>
    <w:rsid w:val="2ECA533D"/>
    <w:rsid w:val="35841A27"/>
    <w:rsid w:val="3C0513F0"/>
    <w:rsid w:val="40CF2241"/>
    <w:rsid w:val="54586380"/>
    <w:rsid w:val="62225A77"/>
    <w:rsid w:val="71E17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A0BEB3"/>
  <w15:docId w15:val="{07EF2B7E-D06B-4B3C-AE2F-B8EE028C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720"/>
      <w:jc w:val="both"/>
    </w:pPr>
    <w:rPr>
      <w:rFonts w:ascii="仿宋_GB2312" w:eastAsia="仿宋_GB2312" w:hAnsi="仿宋_GB2312" w:cs="Times New Roman"/>
      <w:color w:val="000000"/>
      <w:sz w:val="32"/>
      <w:szCs w:val="32"/>
    </w:rPr>
  </w:style>
  <w:style w:type="paragraph" w:styleId="1">
    <w:name w:val="heading 1"/>
    <w:basedOn w:val="a"/>
    <w:next w:val="a"/>
    <w:qFormat/>
    <w:pPr>
      <w:outlineLvl w:val="0"/>
    </w:pPr>
    <w:rPr>
      <w:rFonts w:ascii="黑体" w:eastAsia="黑体" w:hAnsi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 w:eastAsia="宋体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Title"/>
    <w:basedOn w:val="a"/>
    <w:next w:val="a"/>
    <w:uiPriority w:val="10"/>
    <w:qFormat/>
    <w:pPr>
      <w:spacing w:line="240" w:lineRule="auto"/>
      <w:ind w:firstLineChars="0" w:firstLine="0"/>
      <w:jc w:val="center"/>
    </w:pPr>
    <w:rPr>
      <w:rFonts w:ascii="长城小标宋体" w:eastAsia="长城小标宋体" w:hAnsi="长城小标宋体" w:cs="长城小标宋体"/>
      <w:sz w:val="44"/>
      <w:szCs w:val="44"/>
    </w:rPr>
  </w:style>
  <w:style w:type="paragraph" w:customStyle="1" w:styleId="aa">
    <w:name w:val="附件"/>
    <w:basedOn w:val="1"/>
    <w:next w:val="a"/>
    <w:qFormat/>
    <w:pPr>
      <w:ind w:firstLineChars="0" w:firstLine="0"/>
    </w:pPr>
  </w:style>
  <w:style w:type="paragraph" w:customStyle="1" w:styleId="ab">
    <w:name w:val="正文四号"/>
    <w:basedOn w:val="a"/>
    <w:qFormat/>
    <w:rPr>
      <w:rFonts w:hint="eastAsia"/>
      <w:sz w:val="28"/>
      <w:szCs w:val="28"/>
    </w:rPr>
  </w:style>
  <w:style w:type="character" w:customStyle="1" w:styleId="a4">
    <w:name w:val="文档结构图 字符"/>
    <w:basedOn w:val="a0"/>
    <w:link w:val="a3"/>
    <w:rPr>
      <w:rFonts w:ascii="宋体" w:eastAsia="宋体" w:hAnsi="仿宋_GB2312" w:cs="Times New Roman"/>
      <w:color w:val="000000"/>
      <w:sz w:val="18"/>
      <w:szCs w:val="18"/>
    </w:rPr>
  </w:style>
  <w:style w:type="character" w:customStyle="1" w:styleId="a8">
    <w:name w:val="页眉 字符"/>
    <w:basedOn w:val="a0"/>
    <w:link w:val="a7"/>
    <w:rPr>
      <w:rFonts w:ascii="仿宋_GB2312" w:eastAsia="仿宋_GB2312" w:hAnsi="仿宋_GB2312" w:cs="Times New Roman"/>
      <w:color w:val="000000"/>
      <w:sz w:val="18"/>
      <w:szCs w:val="18"/>
    </w:rPr>
  </w:style>
  <w:style w:type="character" w:customStyle="1" w:styleId="a6">
    <w:name w:val="页脚 字符"/>
    <w:basedOn w:val="a0"/>
    <w:link w:val="a5"/>
    <w:rPr>
      <w:rFonts w:ascii="仿宋_GB2312" w:eastAsia="仿宋_GB2312" w:hAnsi="仿宋_GB2312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164</Words>
  <Characters>941</Characters>
  <Application>Microsoft Office Word</Application>
  <DocSecurity>0</DocSecurity>
  <Lines>7</Lines>
  <Paragraphs>2</Paragraphs>
  <ScaleCrop>false</ScaleCrop>
  <Company>bonj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20</cp:revision>
  <dcterms:created xsi:type="dcterms:W3CDTF">2026-07-13T06:09:00Z</dcterms:created>
  <dcterms:modified xsi:type="dcterms:W3CDTF">2026-09-10T07:08:00Z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eyJoZGlkIjoiNGVjMGI2NjNiY2NhZDgyYzA5MTcxNzUxOTEzMzRjMGYiLCJ1c2VySWQiOiI5MjY1NDE4MjAifQ==</vt:lpwstr>
  </property>
  <property fmtid="{D5CDD505-2E9C-101B-9397-08002B2CF9AE}" pid="4" name="ICV">
    <vt:lpwstr>0567FEA824BC40CC8C0F4CB2643A7745_12</vt:lpwstr>
  </property>
</Properties>
</file>