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388EF" w14:textId="77777777" w:rsidR="00431DDB" w:rsidRDefault="00431DDB">
      <w:pPr>
        <w:pStyle w:val="aa"/>
      </w:pPr>
    </w:p>
    <w:p w14:paraId="15891F7B" w14:textId="77777777" w:rsidR="00431DDB" w:rsidRDefault="00431DDB">
      <w:pPr>
        <w:ind w:firstLine="640"/>
      </w:pPr>
    </w:p>
    <w:p w14:paraId="48897651" w14:textId="77777777" w:rsidR="00431DDB" w:rsidRDefault="008D68EC">
      <w:pPr>
        <w:snapToGrid w:val="0"/>
        <w:spacing w:before="240" w:afterLines="30" w:after="93" w:line="360" w:lineRule="auto"/>
        <w:ind w:firstLineChars="0" w:firstLine="0"/>
        <w:jc w:val="center"/>
        <w:rPr>
          <w:rFonts w:ascii="方正黑体简体" w:eastAsia="方正黑体简体" w:hAnsi="Calibri"/>
          <w:color w:val="auto"/>
          <w:kern w:val="2"/>
          <w:sz w:val="36"/>
          <w:szCs w:val="22"/>
        </w:rPr>
      </w:pPr>
      <w:proofErr w:type="gramStart"/>
      <w:r w:rsidRPr="00DD4456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南银理财</w:t>
      </w:r>
      <w:proofErr w:type="gramEnd"/>
      <w:r w:rsidRPr="00DD4456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珠联璧合</w:t>
      </w:r>
      <w:proofErr w:type="gramStart"/>
      <w:r w:rsidRPr="00DD4456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鑫逸稳半</w:t>
      </w:r>
      <w:proofErr w:type="gramEnd"/>
      <w:r w:rsidRPr="00DD4456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年</w:t>
      </w:r>
      <w:r w:rsidRPr="00DD4456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164</w:t>
      </w:r>
      <w:r w:rsidRPr="00DD4456">
        <w:rPr>
          <w:rFonts w:ascii="方正黑体简体" w:eastAsia="方正黑体简体" w:hAnsi="Calibri" w:hint="eastAsia"/>
          <w:color w:val="auto"/>
          <w:kern w:val="2"/>
          <w:sz w:val="36"/>
          <w:szCs w:val="22"/>
          <w:u w:val="single"/>
        </w:rPr>
        <w:t>期封闭式公募人民币理财产品</w:t>
      </w:r>
      <w:r>
        <w:rPr>
          <w:rFonts w:ascii="方正黑体简体" w:eastAsia="方正黑体简体" w:hAnsi="方正黑体简体"/>
          <w:color w:val="auto"/>
          <w:sz w:val="36"/>
        </w:rPr>
        <w:t>到期公告</w:t>
      </w:r>
    </w:p>
    <w:p w14:paraId="5C8CE9F3" w14:textId="77777777" w:rsidR="00431DDB" w:rsidRDefault="00431DDB">
      <w:pPr>
        <w:ind w:firstLine="640"/>
      </w:pPr>
    </w:p>
    <w:p w14:paraId="24F7F807" w14:textId="77777777" w:rsidR="00431DDB" w:rsidRDefault="008D68EC">
      <w:pPr>
        <w:spacing w:beforeLines="20" w:before="62" w:afterLines="20" w:after="62" w:line="240" w:lineRule="auto"/>
        <w:ind w:firstLineChars="0" w:firstLine="0"/>
        <w:jc w:val="left"/>
        <w:rPr>
          <w:rFonts w:ascii="方正仿宋简体" w:eastAsia="方正仿宋简体" w:hAnsi="Times New Roman"/>
          <w:color w:val="auto"/>
          <w:kern w:val="2"/>
          <w:sz w:val="24"/>
          <w:szCs w:val="24"/>
        </w:rPr>
      </w:pP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>尊敬的投资者：</w:t>
      </w:r>
    </w:p>
    <w:p w14:paraId="57F2FBD5" w14:textId="77777777" w:rsidR="00431DDB" w:rsidRDefault="008D68EC">
      <w:pPr>
        <w:spacing w:beforeLines="20" w:before="62" w:afterLines="20" w:after="62" w:line="240" w:lineRule="auto"/>
        <w:ind w:firstLine="480"/>
        <w:jc w:val="left"/>
        <w:rPr>
          <w:rFonts w:ascii="方正仿宋简体" w:eastAsia="方正仿宋简体" w:hAnsi="Times New Roman"/>
          <w:color w:val="auto"/>
          <w:kern w:val="2"/>
          <w:sz w:val="24"/>
          <w:szCs w:val="24"/>
        </w:rPr>
      </w:pP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>本公司发行的</w:t>
      </w:r>
      <w:r>
        <w:rPr>
          <w:rFonts w:ascii="方正仿宋简体" w:eastAsia="方正仿宋简体" w:hAnsi="Times New Roman" w:hint="eastAsia"/>
          <w:color w:val="auto"/>
          <w:kern w:val="2"/>
          <w:sz w:val="24"/>
          <w:szCs w:val="24"/>
        </w:rPr>
        <w:t xml:space="preserve"> </w:t>
      </w:r>
      <w:proofErr w:type="gramStart"/>
      <w:r w:rsidRPr="00DD4456">
        <w:rPr>
          <w:rFonts w:ascii="方正仿宋简体" w:eastAsia="方正仿宋简体" w:hAnsi="方正仿宋简体"/>
          <w:color w:val="auto"/>
          <w:sz w:val="24"/>
          <w:u w:val="single"/>
        </w:rPr>
        <w:t>南银理财</w:t>
      </w:r>
      <w:proofErr w:type="gramEnd"/>
      <w:r w:rsidRPr="00DD4456">
        <w:rPr>
          <w:rFonts w:ascii="方正仿宋简体" w:eastAsia="方正仿宋简体" w:hAnsi="方正仿宋简体"/>
          <w:color w:val="auto"/>
          <w:sz w:val="24"/>
          <w:u w:val="single"/>
        </w:rPr>
        <w:t>珠联璧合</w:t>
      </w:r>
      <w:proofErr w:type="gramStart"/>
      <w:r w:rsidRPr="00DD4456">
        <w:rPr>
          <w:rFonts w:ascii="方正仿宋简体" w:eastAsia="方正仿宋简体" w:hAnsi="方正仿宋简体"/>
          <w:color w:val="auto"/>
          <w:sz w:val="24"/>
          <w:u w:val="single"/>
        </w:rPr>
        <w:t>鑫逸稳半</w:t>
      </w:r>
      <w:proofErr w:type="gramEnd"/>
      <w:r w:rsidRPr="00DD4456">
        <w:rPr>
          <w:rFonts w:ascii="方正仿宋简体" w:eastAsia="方正仿宋简体" w:hAnsi="方正仿宋简体"/>
          <w:color w:val="auto"/>
          <w:sz w:val="24"/>
          <w:u w:val="single"/>
        </w:rPr>
        <w:t>年</w:t>
      </w:r>
      <w:r w:rsidRPr="00DD4456">
        <w:rPr>
          <w:rFonts w:ascii="方正仿宋简体" w:eastAsia="方正仿宋简体" w:hAnsi="方正仿宋简体"/>
          <w:color w:val="auto"/>
          <w:sz w:val="24"/>
          <w:u w:val="single"/>
        </w:rPr>
        <w:t>164</w:t>
      </w:r>
      <w:r w:rsidRPr="00DD4456">
        <w:rPr>
          <w:rFonts w:ascii="方正仿宋简体" w:eastAsia="方正仿宋简体" w:hAnsi="方正仿宋简体"/>
          <w:color w:val="auto"/>
          <w:sz w:val="24"/>
          <w:u w:val="single"/>
        </w:rPr>
        <w:t>期封闭式公募人民币理财产品</w:t>
      </w:r>
      <w:r>
        <w:rPr>
          <w:rFonts w:ascii="方正仿宋简体" w:eastAsia="方正仿宋简体" w:hAnsi="方正仿宋简体"/>
          <w:color w:val="auto"/>
          <w:sz w:val="24"/>
        </w:rPr>
        <w:t xml:space="preserve"> </w:t>
      </w:r>
      <w:r>
        <w:rPr>
          <w:rFonts w:ascii="方正仿宋简体" w:eastAsia="方正仿宋简体" w:hAnsi="方正仿宋简体"/>
          <w:color w:val="auto"/>
          <w:sz w:val="24"/>
        </w:rPr>
        <w:t>已到期，现将相关信息公告如下：</w:t>
      </w:r>
    </w:p>
    <w:p w14:paraId="1FB40BAC" w14:textId="77777777" w:rsidR="00431DDB" w:rsidRDefault="00431DDB">
      <w:pPr>
        <w:ind w:firstLine="640"/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1963"/>
        <w:gridCol w:w="1930"/>
        <w:gridCol w:w="2955"/>
      </w:tblGrid>
      <w:tr w:rsidR="00431DDB" w14:paraId="7DF2D028" w14:textId="77777777">
        <w:tc>
          <w:tcPr>
            <w:tcW w:w="3264" w:type="pct"/>
            <w:gridSpan w:val="3"/>
            <w:vAlign w:val="center"/>
          </w:tcPr>
          <w:p w14:paraId="59309189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产品名称</w:t>
            </w:r>
          </w:p>
        </w:tc>
        <w:tc>
          <w:tcPr>
            <w:tcW w:w="1735" w:type="pct"/>
            <w:vAlign w:val="center"/>
          </w:tcPr>
          <w:p w14:paraId="374C1C9F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南银理财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珠联璧合</w:t>
            </w: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鑫逸稳半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年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164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期封闭式公募人民币理财产品</w:t>
            </w:r>
          </w:p>
        </w:tc>
      </w:tr>
      <w:tr w:rsidR="00431DDB" w14:paraId="784A520E" w14:textId="77777777">
        <w:tc>
          <w:tcPr>
            <w:tcW w:w="3264" w:type="pct"/>
            <w:gridSpan w:val="3"/>
            <w:vAlign w:val="center"/>
          </w:tcPr>
          <w:p w14:paraId="67288AE9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产品代码</w:t>
            </w:r>
          </w:p>
        </w:tc>
        <w:tc>
          <w:tcPr>
            <w:tcW w:w="1735" w:type="pct"/>
            <w:vAlign w:val="center"/>
          </w:tcPr>
          <w:p w14:paraId="1965FA91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ZZ700322600021</w:t>
            </w:r>
          </w:p>
        </w:tc>
      </w:tr>
      <w:tr w:rsidR="00431DDB" w14:paraId="1391DA9F" w14:textId="77777777">
        <w:tc>
          <w:tcPr>
            <w:tcW w:w="3264" w:type="pct"/>
            <w:gridSpan w:val="3"/>
            <w:vAlign w:val="center"/>
          </w:tcPr>
          <w:p w14:paraId="563AEAEE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产品登记编码</w:t>
            </w:r>
          </w:p>
        </w:tc>
        <w:tc>
          <w:tcPr>
            <w:tcW w:w="1735" w:type="pct"/>
            <w:vAlign w:val="center"/>
          </w:tcPr>
          <w:p w14:paraId="2D539271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Z7003226000066</w:t>
            </w:r>
          </w:p>
          <w:p w14:paraId="7A25B4B1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（可在中国</w:t>
            </w:r>
            <w:proofErr w:type="gramStart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理财网</w:t>
            </w:r>
            <w:proofErr w:type="gramEnd"/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www.chinawealth.com.cn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查询产品信息）</w:t>
            </w:r>
          </w:p>
        </w:tc>
      </w:tr>
      <w:tr w:rsidR="00431DDB" w14:paraId="3EA29706" w14:textId="77777777">
        <w:tc>
          <w:tcPr>
            <w:tcW w:w="3264" w:type="pct"/>
            <w:gridSpan w:val="3"/>
            <w:vAlign w:val="center"/>
          </w:tcPr>
          <w:p w14:paraId="5D7CC407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产品成立日期</w:t>
            </w:r>
          </w:p>
        </w:tc>
        <w:tc>
          <w:tcPr>
            <w:tcW w:w="1735" w:type="pct"/>
            <w:vAlign w:val="center"/>
          </w:tcPr>
          <w:p w14:paraId="16791836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2026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年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02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月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25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日</w:t>
            </w:r>
          </w:p>
        </w:tc>
      </w:tr>
      <w:tr w:rsidR="00431DDB" w14:paraId="1FD7E115" w14:textId="77777777">
        <w:tc>
          <w:tcPr>
            <w:tcW w:w="3264" w:type="pct"/>
            <w:gridSpan w:val="3"/>
            <w:vAlign w:val="center"/>
          </w:tcPr>
          <w:p w14:paraId="7E889EFD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产品终止日期</w:t>
            </w:r>
          </w:p>
        </w:tc>
        <w:tc>
          <w:tcPr>
            <w:tcW w:w="1735" w:type="pct"/>
            <w:vAlign w:val="center"/>
          </w:tcPr>
          <w:p w14:paraId="5A4839A2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2026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年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09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月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09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日</w:t>
            </w:r>
          </w:p>
        </w:tc>
      </w:tr>
      <w:tr w:rsidR="00431DDB" w14:paraId="76894EE0" w14:textId="77777777">
        <w:tc>
          <w:tcPr>
            <w:tcW w:w="3264" w:type="pct"/>
            <w:gridSpan w:val="3"/>
            <w:vAlign w:val="center"/>
          </w:tcPr>
          <w:p w14:paraId="37E2A551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存续期限</w:t>
            </w:r>
          </w:p>
        </w:tc>
        <w:tc>
          <w:tcPr>
            <w:tcW w:w="1735" w:type="pct"/>
            <w:vAlign w:val="center"/>
          </w:tcPr>
          <w:p w14:paraId="0CECE13B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196</w:t>
            </w: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天</w:t>
            </w:r>
          </w:p>
        </w:tc>
      </w:tr>
      <w:tr w:rsidR="00431DDB" w14:paraId="4AD0ADE1" w14:textId="77777777">
        <w:tc>
          <w:tcPr>
            <w:tcW w:w="3264" w:type="pct"/>
            <w:gridSpan w:val="3"/>
            <w:vAlign w:val="center"/>
          </w:tcPr>
          <w:p w14:paraId="0CA3DB4B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lastRenderedPageBreak/>
              <w:t>募集币种</w:t>
            </w:r>
          </w:p>
        </w:tc>
        <w:tc>
          <w:tcPr>
            <w:tcW w:w="1735" w:type="pct"/>
            <w:vAlign w:val="center"/>
          </w:tcPr>
          <w:p w14:paraId="05207FBA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人民币</w:t>
            </w:r>
          </w:p>
        </w:tc>
      </w:tr>
      <w:tr w:rsidR="00431DDB" w14:paraId="5AE2D150" w14:textId="77777777">
        <w:tc>
          <w:tcPr>
            <w:tcW w:w="979" w:type="pct"/>
            <w:vMerge w:val="restart"/>
            <w:vAlign w:val="center"/>
          </w:tcPr>
          <w:p w14:paraId="42AB6A21" w14:textId="77777777" w:rsidR="00431DDB" w:rsidRDefault="008D68EC">
            <w:pPr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收益分配情况</w:t>
            </w:r>
          </w:p>
        </w:tc>
        <w:tc>
          <w:tcPr>
            <w:tcW w:w="2285" w:type="pct"/>
            <w:gridSpan w:val="2"/>
            <w:vAlign w:val="center"/>
          </w:tcPr>
          <w:p w14:paraId="45134237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产品终止日份额净值</w:t>
            </w:r>
          </w:p>
          <w:p w14:paraId="0EE003BC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（适用于非现金管理类理财产品）</w:t>
            </w:r>
          </w:p>
        </w:tc>
        <w:tc>
          <w:tcPr>
            <w:tcW w:w="1735" w:type="pct"/>
            <w:vAlign w:val="center"/>
          </w:tcPr>
          <w:p w14:paraId="42FC0F46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1.0103</w:t>
            </w:r>
          </w:p>
        </w:tc>
      </w:tr>
      <w:tr w:rsidR="00431DDB" w14:paraId="234E742A" w14:textId="77777777">
        <w:tc>
          <w:tcPr>
            <w:tcW w:w="979" w:type="pct"/>
            <w:vMerge/>
            <w:vAlign w:val="center"/>
          </w:tcPr>
          <w:p w14:paraId="4A84BE95" w14:textId="77777777" w:rsidR="00431DDB" w:rsidRDefault="00431DDB">
            <w:pPr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61902FC5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产品终止日份额累计净值</w:t>
            </w:r>
          </w:p>
          <w:p w14:paraId="73858A01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（适用于非现金管理类理财产品）</w:t>
            </w:r>
          </w:p>
        </w:tc>
        <w:tc>
          <w:tcPr>
            <w:tcW w:w="1735" w:type="pct"/>
            <w:vAlign w:val="center"/>
          </w:tcPr>
          <w:p w14:paraId="650C48B7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1.0103</w:t>
            </w:r>
          </w:p>
        </w:tc>
      </w:tr>
      <w:tr w:rsidR="00431DDB" w14:paraId="02E6715E" w14:textId="77777777">
        <w:tc>
          <w:tcPr>
            <w:tcW w:w="979" w:type="pct"/>
            <w:vMerge/>
            <w:vAlign w:val="center"/>
          </w:tcPr>
          <w:p w14:paraId="13CB4760" w14:textId="77777777" w:rsidR="00431DDB" w:rsidRDefault="00431DDB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787DF8BA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产品终止日总份额</w:t>
            </w:r>
          </w:p>
          <w:p w14:paraId="13BBE305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（适用于现金管理类理财产品）</w:t>
            </w:r>
          </w:p>
        </w:tc>
        <w:tc>
          <w:tcPr>
            <w:tcW w:w="1735" w:type="pct"/>
            <w:vAlign w:val="center"/>
          </w:tcPr>
          <w:p w14:paraId="2A00FC94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431DDB" w14:paraId="3B282DE8" w14:textId="77777777">
        <w:tc>
          <w:tcPr>
            <w:tcW w:w="979" w:type="pct"/>
            <w:vMerge w:val="restart"/>
            <w:vAlign w:val="center"/>
          </w:tcPr>
          <w:p w14:paraId="5D97CE15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主要收费情况</w:t>
            </w:r>
          </w:p>
        </w:tc>
        <w:tc>
          <w:tcPr>
            <w:tcW w:w="2285" w:type="pct"/>
            <w:gridSpan w:val="2"/>
            <w:vAlign w:val="center"/>
          </w:tcPr>
          <w:p w14:paraId="23C9D88B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固定管理费总额</w:t>
            </w:r>
          </w:p>
        </w:tc>
        <w:tc>
          <w:tcPr>
            <w:tcW w:w="1735" w:type="pct"/>
            <w:vAlign w:val="center"/>
          </w:tcPr>
          <w:p w14:paraId="11851FF8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211,321.28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431DDB" w14:paraId="38476393" w14:textId="77777777">
        <w:tc>
          <w:tcPr>
            <w:tcW w:w="979" w:type="pct"/>
            <w:vMerge/>
            <w:vAlign w:val="center"/>
          </w:tcPr>
          <w:p w14:paraId="0F75FBB2" w14:textId="77777777" w:rsidR="00431DDB" w:rsidRDefault="00431DDB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3C458A0C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浮动管理费总额</w:t>
            </w:r>
          </w:p>
        </w:tc>
        <w:tc>
          <w:tcPr>
            <w:tcW w:w="1735" w:type="pct"/>
            <w:vAlign w:val="center"/>
          </w:tcPr>
          <w:p w14:paraId="52CDB28B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30,538.40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431DDB" w14:paraId="6F1C3841" w14:textId="77777777">
        <w:tc>
          <w:tcPr>
            <w:tcW w:w="979" w:type="pct"/>
            <w:vMerge/>
            <w:vAlign w:val="center"/>
          </w:tcPr>
          <w:p w14:paraId="25C3D984" w14:textId="77777777" w:rsidR="00431DDB" w:rsidRDefault="00431DDB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657C71FF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托管费总额</w:t>
            </w:r>
          </w:p>
        </w:tc>
        <w:tc>
          <w:tcPr>
            <w:tcW w:w="1735" w:type="pct"/>
            <w:vAlign w:val="center"/>
          </w:tcPr>
          <w:p w14:paraId="722E23B1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27,956.60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431DDB" w14:paraId="5D594247" w14:textId="77777777">
        <w:tc>
          <w:tcPr>
            <w:tcW w:w="979" w:type="pct"/>
            <w:vMerge/>
            <w:vAlign w:val="center"/>
          </w:tcPr>
          <w:p w14:paraId="28A718AA" w14:textId="77777777" w:rsidR="00431DDB" w:rsidRDefault="00431DDB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 w:hAnsi="黑体" w:cs="黑体"/>
                <w:sz w:val="24"/>
                <w:szCs w:val="24"/>
              </w:rPr>
            </w:pPr>
          </w:p>
        </w:tc>
        <w:tc>
          <w:tcPr>
            <w:tcW w:w="2285" w:type="pct"/>
            <w:gridSpan w:val="2"/>
            <w:vAlign w:val="center"/>
          </w:tcPr>
          <w:p w14:paraId="2D69FFC2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销售服务费总额</w:t>
            </w:r>
          </w:p>
        </w:tc>
        <w:tc>
          <w:tcPr>
            <w:tcW w:w="1735" w:type="pct"/>
            <w:vAlign w:val="center"/>
          </w:tcPr>
          <w:p w14:paraId="568592B0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204,977.29</w:t>
            </w:r>
            <w:r>
              <w:rPr>
                <w:rFonts w:ascii="方正仿宋简体" w:eastAsia="方正仿宋简体" w:cs="方正仿宋简体"/>
                <w:sz w:val="24"/>
              </w:rPr>
              <w:t>元</w:t>
            </w:r>
          </w:p>
        </w:tc>
      </w:tr>
      <w:tr w:rsidR="00431DDB" w14:paraId="08CFC5C6" w14:textId="77777777">
        <w:tc>
          <w:tcPr>
            <w:tcW w:w="979" w:type="pct"/>
            <w:vAlign w:val="center"/>
          </w:tcPr>
          <w:p w14:paraId="44507D8D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份额代码</w:t>
            </w:r>
          </w:p>
        </w:tc>
        <w:tc>
          <w:tcPr>
            <w:tcW w:w="1152" w:type="pct"/>
            <w:vAlign w:val="center"/>
          </w:tcPr>
          <w:p w14:paraId="5EED694E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54EDC26E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份额净值</w:t>
            </w:r>
          </w:p>
          <w:p w14:paraId="4048E1C8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470A9E1B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非现金管理类</w:t>
            </w:r>
          </w:p>
          <w:p w14:paraId="7D605396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  <w:tc>
          <w:tcPr>
            <w:tcW w:w="1133" w:type="pct"/>
            <w:vAlign w:val="center"/>
          </w:tcPr>
          <w:p w14:paraId="7373A344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364B589F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份额累计净值</w:t>
            </w:r>
          </w:p>
          <w:p w14:paraId="03939B6A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50BDE834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非现金管理类</w:t>
            </w:r>
          </w:p>
          <w:p w14:paraId="208203A9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  <w:tc>
          <w:tcPr>
            <w:tcW w:w="1735" w:type="pct"/>
            <w:vAlign w:val="center"/>
          </w:tcPr>
          <w:p w14:paraId="36D32C08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终止日</w:t>
            </w:r>
          </w:p>
          <w:p w14:paraId="5E4D0D3D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总份额</w:t>
            </w:r>
          </w:p>
          <w:p w14:paraId="4D01D14C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（适用于</w:t>
            </w:r>
          </w:p>
          <w:p w14:paraId="59C73F47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 w:hAnsi="黑体" w:cs="黑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现金管理类</w:t>
            </w:r>
          </w:p>
          <w:p w14:paraId="4BD36B7F" w14:textId="77777777" w:rsidR="00431DDB" w:rsidRDefault="008D68EC">
            <w:pPr>
              <w:widowControl/>
              <w:spacing w:line="300" w:lineRule="auto"/>
              <w:ind w:firstLineChars="0" w:firstLine="0"/>
              <w:jc w:val="center"/>
              <w:textAlignment w:val="top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hAnsi="黑体" w:cs="黑体" w:hint="eastAsia"/>
                <w:sz w:val="24"/>
                <w:szCs w:val="24"/>
              </w:rPr>
              <w:t>理财产品）</w:t>
            </w:r>
          </w:p>
        </w:tc>
      </w:tr>
      <w:tr w:rsidR="00431DDB" w14:paraId="54E5EE76" w14:textId="77777777">
        <w:tc>
          <w:tcPr>
            <w:tcW w:w="979" w:type="pct"/>
          </w:tcPr>
          <w:p w14:paraId="25E30038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Y70164</w:t>
            </w:r>
          </w:p>
        </w:tc>
        <w:tc>
          <w:tcPr>
            <w:tcW w:w="1152" w:type="pct"/>
          </w:tcPr>
          <w:p w14:paraId="108C1C2B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1.0099</w:t>
            </w:r>
          </w:p>
        </w:tc>
        <w:tc>
          <w:tcPr>
            <w:tcW w:w="1133" w:type="pct"/>
          </w:tcPr>
          <w:p w14:paraId="6A215D75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1.0099</w:t>
            </w:r>
          </w:p>
        </w:tc>
        <w:tc>
          <w:tcPr>
            <w:tcW w:w="1735" w:type="pct"/>
          </w:tcPr>
          <w:p w14:paraId="1D0B486B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431DDB" w14:paraId="454FDFA4" w14:textId="77777777">
        <w:tc>
          <w:tcPr>
            <w:tcW w:w="979" w:type="pct"/>
          </w:tcPr>
          <w:p w14:paraId="13FA0A8C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Y71164</w:t>
            </w:r>
          </w:p>
        </w:tc>
        <w:tc>
          <w:tcPr>
            <w:tcW w:w="1152" w:type="pct"/>
          </w:tcPr>
          <w:p w14:paraId="7A7362FD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1.0104</w:t>
            </w:r>
          </w:p>
        </w:tc>
        <w:tc>
          <w:tcPr>
            <w:tcW w:w="1133" w:type="pct"/>
          </w:tcPr>
          <w:p w14:paraId="37A984B6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1.0104</w:t>
            </w:r>
          </w:p>
        </w:tc>
        <w:tc>
          <w:tcPr>
            <w:tcW w:w="1735" w:type="pct"/>
          </w:tcPr>
          <w:p w14:paraId="7D551D3E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431DDB" w14:paraId="4EF0CD10" w14:textId="77777777">
        <w:tc>
          <w:tcPr>
            <w:tcW w:w="979" w:type="pct"/>
          </w:tcPr>
          <w:p w14:paraId="244363D5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Y72164</w:t>
            </w:r>
          </w:p>
        </w:tc>
        <w:tc>
          <w:tcPr>
            <w:tcW w:w="1152" w:type="pct"/>
          </w:tcPr>
          <w:p w14:paraId="4859A045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1.0109</w:t>
            </w:r>
          </w:p>
        </w:tc>
        <w:tc>
          <w:tcPr>
            <w:tcW w:w="1133" w:type="pct"/>
          </w:tcPr>
          <w:p w14:paraId="31665241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1.0109</w:t>
            </w:r>
          </w:p>
        </w:tc>
        <w:tc>
          <w:tcPr>
            <w:tcW w:w="1735" w:type="pct"/>
          </w:tcPr>
          <w:p w14:paraId="3D6E63A0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431DDB" w14:paraId="5D66910D" w14:textId="77777777">
        <w:tc>
          <w:tcPr>
            <w:tcW w:w="979" w:type="pct"/>
          </w:tcPr>
          <w:p w14:paraId="06F7B3C9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Y79164</w:t>
            </w:r>
          </w:p>
        </w:tc>
        <w:tc>
          <w:tcPr>
            <w:tcW w:w="1152" w:type="pct"/>
          </w:tcPr>
          <w:p w14:paraId="67B8D8BE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1.0099</w:t>
            </w:r>
          </w:p>
        </w:tc>
        <w:tc>
          <w:tcPr>
            <w:tcW w:w="1133" w:type="pct"/>
          </w:tcPr>
          <w:p w14:paraId="395FF01A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1.0099</w:t>
            </w:r>
          </w:p>
        </w:tc>
        <w:tc>
          <w:tcPr>
            <w:tcW w:w="1735" w:type="pct"/>
          </w:tcPr>
          <w:p w14:paraId="308AF1AF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431DDB" w14:paraId="2B54BB52" w14:textId="77777777">
        <w:tc>
          <w:tcPr>
            <w:tcW w:w="979" w:type="pct"/>
          </w:tcPr>
          <w:p w14:paraId="42D78EB1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YB70164</w:t>
            </w:r>
          </w:p>
        </w:tc>
        <w:tc>
          <w:tcPr>
            <w:tcW w:w="1152" w:type="pct"/>
          </w:tcPr>
          <w:p w14:paraId="6289F683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1.0112</w:t>
            </w:r>
          </w:p>
        </w:tc>
        <w:tc>
          <w:tcPr>
            <w:tcW w:w="1133" w:type="pct"/>
          </w:tcPr>
          <w:p w14:paraId="61C2F41A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1.0112</w:t>
            </w:r>
          </w:p>
        </w:tc>
        <w:tc>
          <w:tcPr>
            <w:tcW w:w="1735" w:type="pct"/>
          </w:tcPr>
          <w:p w14:paraId="0F1B7499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  <w:tr w:rsidR="00431DDB" w14:paraId="2517D7F2" w14:textId="77777777">
        <w:tc>
          <w:tcPr>
            <w:tcW w:w="979" w:type="pct"/>
          </w:tcPr>
          <w:p w14:paraId="6CA2F2EE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方正仿宋简体"/>
                <w:sz w:val="24"/>
              </w:rPr>
              <w:t>YH70164</w:t>
            </w:r>
          </w:p>
        </w:tc>
        <w:tc>
          <w:tcPr>
            <w:tcW w:w="1152" w:type="pct"/>
          </w:tcPr>
          <w:p w14:paraId="424E92DD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1.0109</w:t>
            </w:r>
          </w:p>
        </w:tc>
        <w:tc>
          <w:tcPr>
            <w:tcW w:w="1133" w:type="pct"/>
          </w:tcPr>
          <w:p w14:paraId="5B65129B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1.0109</w:t>
            </w:r>
          </w:p>
        </w:tc>
        <w:tc>
          <w:tcPr>
            <w:tcW w:w="1735" w:type="pct"/>
          </w:tcPr>
          <w:p w14:paraId="4F87BAD8" w14:textId="77777777" w:rsidR="00431DDB" w:rsidRDefault="008D68EC">
            <w:pPr>
              <w:spacing w:line="300" w:lineRule="auto"/>
              <w:ind w:firstLineChars="0" w:firstLine="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eastAsia="方正仿宋简体" w:cs="仿宋_GB2312" w:hint="eastAsia"/>
                <w:sz w:val="24"/>
                <w:szCs w:val="24"/>
              </w:rPr>
              <w:t>-</w:t>
            </w:r>
          </w:p>
        </w:tc>
      </w:tr>
    </w:tbl>
    <w:p w14:paraId="1EC432D6" w14:textId="77777777" w:rsidR="00431DDB" w:rsidRDefault="008D68EC">
      <w:pPr>
        <w:pStyle w:val="ab"/>
        <w:ind w:firstLine="56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lastRenderedPageBreak/>
        <w:t>Y70164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Y71164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Y72164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Y79164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YB70164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日；</w:t>
      </w:r>
      <w:r>
        <w:rPr>
          <w:rFonts w:ascii="方正仿宋简体" w:eastAsia="方正仿宋简体"/>
        </w:rPr>
        <w:t>YH70164</w:t>
      </w:r>
      <w:r>
        <w:rPr>
          <w:rFonts w:ascii="方正仿宋简体" w:eastAsia="方正仿宋简体"/>
        </w:rPr>
        <w:t>，到期日</w:t>
      </w:r>
      <w:r>
        <w:rPr>
          <w:rFonts w:ascii="方正仿宋简体" w:eastAsia="方正仿宋简体"/>
        </w:rPr>
        <w:t>2026</w:t>
      </w:r>
      <w:r>
        <w:rPr>
          <w:rFonts w:ascii="方正仿宋简体" w:eastAsia="方正仿宋简体"/>
        </w:rPr>
        <w:t>年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月</w:t>
      </w:r>
      <w:r>
        <w:rPr>
          <w:rFonts w:ascii="方正仿宋简体" w:eastAsia="方正仿宋简体"/>
        </w:rPr>
        <w:t>09</w:t>
      </w:r>
      <w:r>
        <w:rPr>
          <w:rFonts w:ascii="方正仿宋简体" w:eastAsia="方正仿宋简体"/>
        </w:rPr>
        <w:t>日本理财产品已于终止日向客户兑付，上述终止</w:t>
      </w:r>
      <w:proofErr w:type="gramStart"/>
      <w:r>
        <w:rPr>
          <w:rFonts w:ascii="方正仿宋简体" w:eastAsia="方正仿宋简体"/>
        </w:rPr>
        <w:t>日数据</w:t>
      </w:r>
      <w:proofErr w:type="gramEnd"/>
      <w:r>
        <w:rPr>
          <w:rFonts w:ascii="方正仿宋简体" w:eastAsia="方正仿宋简体"/>
        </w:rPr>
        <w:t>为实际兑付情况，清算资金将划转至投资者指定账户，具体到账日期以产品说明书为准。自产品终止日起，清算过程中各项利息及费用与实际结算金额的尾差（如有）由管理人承担。</w:t>
      </w:r>
    </w:p>
    <w:p w14:paraId="67DF0000" w14:textId="77777777" w:rsidR="00431DDB" w:rsidRDefault="008D68EC">
      <w:pPr>
        <w:pStyle w:val="ab"/>
        <w:ind w:firstLineChars="0" w:firstLine="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注：</w:t>
      </w:r>
      <w:r>
        <w:rPr>
          <w:rFonts w:ascii="方正仿宋简体" w:eastAsia="方正仿宋简体"/>
        </w:rPr>
        <w:t>1.</w:t>
      </w:r>
      <w:r>
        <w:rPr>
          <w:rFonts w:ascii="方正仿宋简体" w:eastAsia="方正仿宋简体"/>
        </w:rPr>
        <w:t>本到期公告披露的相关净值数据已</w:t>
      </w:r>
      <w:r>
        <w:rPr>
          <w:rFonts w:ascii="方正仿宋简体" w:eastAsia="方正仿宋简体"/>
        </w:rPr>
        <w:t>由理财产品托管人复核。</w:t>
      </w:r>
    </w:p>
    <w:p w14:paraId="710FEC0B" w14:textId="77777777" w:rsidR="00431DDB" w:rsidRDefault="008D68EC">
      <w:pPr>
        <w:pStyle w:val="ab"/>
        <w:ind w:firstLine="560"/>
        <w:rPr>
          <w:rFonts w:ascii="方正仿宋简体" w:eastAsia="方正仿宋简体" w:hint="default"/>
        </w:rPr>
      </w:pPr>
      <w:r>
        <w:rPr>
          <w:rFonts w:ascii="方正仿宋简体" w:eastAsia="方正仿宋简体"/>
        </w:rPr>
        <w:t>2.</w:t>
      </w:r>
      <w:r>
        <w:rPr>
          <w:rFonts w:ascii="方正仿宋简体" w:eastAsia="方正仿宋简体"/>
        </w:rPr>
        <w:t>根据产品说明书，因理财产品发行对象不同，或有不同的份额及份额代码，不同份额之间可能存在销售服务费收费条件、收费标准和收费方式等的不同，以及因计算过程产生尾差等原因，均可能导致各份额的份额净值、份额累计净值不完全一致。</w:t>
      </w:r>
    </w:p>
    <w:p w14:paraId="0ADF5F5B" w14:textId="77777777" w:rsidR="00431DDB" w:rsidRDefault="00431DDB">
      <w:pPr>
        <w:ind w:firstLine="640"/>
        <w:rPr>
          <w:rFonts w:ascii="方正仿宋简体" w:eastAsia="方正仿宋简体"/>
        </w:rPr>
      </w:pPr>
    </w:p>
    <w:p w14:paraId="3659D530" w14:textId="77777777" w:rsidR="00431DDB" w:rsidRDefault="008D68EC">
      <w:pPr>
        <w:ind w:firstLine="640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特此公告。</w:t>
      </w:r>
    </w:p>
    <w:p w14:paraId="2F5475F2" w14:textId="77777777" w:rsidR="00431DDB" w:rsidRDefault="008D68EC">
      <w:pPr>
        <w:ind w:firstLine="640"/>
        <w:jc w:val="right"/>
        <w:rPr>
          <w:rFonts w:ascii="方正仿宋简体" w:eastAsia="方正仿宋简体"/>
        </w:rPr>
      </w:pPr>
      <w:proofErr w:type="gramStart"/>
      <w:r>
        <w:rPr>
          <w:rFonts w:ascii="方正仿宋简体" w:eastAsia="方正仿宋简体" w:hint="eastAsia"/>
        </w:rPr>
        <w:t>南银理财</w:t>
      </w:r>
      <w:proofErr w:type="gramEnd"/>
      <w:r>
        <w:rPr>
          <w:rFonts w:ascii="方正仿宋简体" w:eastAsia="方正仿宋简体" w:hint="eastAsia"/>
        </w:rPr>
        <w:t>有限责任公司</w:t>
      </w:r>
    </w:p>
    <w:p w14:paraId="563D80C8" w14:textId="77777777" w:rsidR="00431DDB" w:rsidRDefault="008D68EC">
      <w:pPr>
        <w:ind w:firstLine="640"/>
        <w:jc w:val="right"/>
        <w:rPr>
          <w:rFonts w:ascii="方正仿宋简体" w:eastAsia="方正仿宋简体"/>
        </w:rPr>
      </w:pPr>
      <w:r>
        <w:rPr>
          <w:rFonts w:ascii="方正仿宋简体" w:eastAsia="方正仿宋简体" w:hint="eastAsia"/>
        </w:rPr>
        <w:t>2026</w:t>
      </w:r>
      <w:r>
        <w:rPr>
          <w:rFonts w:ascii="方正仿宋简体" w:eastAsia="方正仿宋简体" w:hint="eastAsia"/>
        </w:rPr>
        <w:t>年</w:t>
      </w:r>
      <w:r>
        <w:rPr>
          <w:rFonts w:ascii="方正仿宋简体" w:eastAsia="方正仿宋简体" w:hint="eastAsia"/>
        </w:rPr>
        <w:t>09</w:t>
      </w:r>
      <w:r>
        <w:rPr>
          <w:rFonts w:ascii="方正仿宋简体" w:eastAsia="方正仿宋简体" w:hint="eastAsia"/>
        </w:rPr>
        <w:t>月</w:t>
      </w:r>
      <w:r>
        <w:rPr>
          <w:rFonts w:ascii="方正仿宋简体" w:eastAsia="方正仿宋简体" w:hint="eastAsia"/>
        </w:rPr>
        <w:t>09</w:t>
      </w:r>
      <w:r>
        <w:rPr>
          <w:rFonts w:ascii="方正仿宋简体" w:eastAsia="方正仿宋简体" w:hint="eastAsia"/>
        </w:rPr>
        <w:t>日</w:t>
      </w:r>
    </w:p>
    <w:sectPr w:rsidR="00431D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5FAD7" w14:textId="77777777" w:rsidR="008D68EC" w:rsidRDefault="008D68EC">
      <w:pPr>
        <w:spacing w:line="240" w:lineRule="auto"/>
        <w:ind w:firstLine="640"/>
      </w:pPr>
      <w:r>
        <w:separator/>
      </w:r>
    </w:p>
  </w:endnote>
  <w:endnote w:type="continuationSeparator" w:id="0">
    <w:p w14:paraId="6590C79D" w14:textId="77777777" w:rsidR="008D68EC" w:rsidRDefault="008D68E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宋体"/>
    <w:charset w:val="86"/>
    <w:family w:val="modern"/>
    <w:pitch w:val="default"/>
    <w:sig w:usb0="00000000" w:usb1="00000000" w:usb2="00000010" w:usb3="00000000" w:csb0="00160005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A5815" w14:textId="77777777" w:rsidR="00431DDB" w:rsidRDefault="00431DDB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05143" w14:textId="77777777" w:rsidR="00431DDB" w:rsidRDefault="00431DDB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55C1" w14:textId="77777777" w:rsidR="00431DDB" w:rsidRDefault="00431DDB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92F15" w14:textId="77777777" w:rsidR="008D68EC" w:rsidRDefault="008D68EC">
      <w:pPr>
        <w:spacing w:line="240" w:lineRule="auto"/>
        <w:ind w:firstLine="640"/>
      </w:pPr>
      <w:r>
        <w:separator/>
      </w:r>
    </w:p>
  </w:footnote>
  <w:footnote w:type="continuationSeparator" w:id="0">
    <w:p w14:paraId="7D62D6CD" w14:textId="77777777" w:rsidR="008D68EC" w:rsidRDefault="008D68E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2F2D3" w14:textId="77777777" w:rsidR="00431DDB" w:rsidRDefault="00431DDB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633A" w14:textId="77777777" w:rsidR="00431DDB" w:rsidRDefault="00431DDB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580AA" w14:textId="77777777" w:rsidR="00431DDB" w:rsidRDefault="00431DDB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F65"/>
    <w:rsid w:val="001F2A31"/>
    <w:rsid w:val="001F4836"/>
    <w:rsid w:val="00313900"/>
    <w:rsid w:val="00431DDB"/>
    <w:rsid w:val="0069772A"/>
    <w:rsid w:val="008D68EC"/>
    <w:rsid w:val="009215DC"/>
    <w:rsid w:val="00A273D7"/>
    <w:rsid w:val="00AE3DE4"/>
    <w:rsid w:val="00BE6C5B"/>
    <w:rsid w:val="00DD4456"/>
    <w:rsid w:val="00FD26A3"/>
    <w:rsid w:val="00FE7F65"/>
    <w:rsid w:val="1BFD4300"/>
    <w:rsid w:val="244E7344"/>
    <w:rsid w:val="2ECA533D"/>
    <w:rsid w:val="35841A27"/>
    <w:rsid w:val="3C0513F0"/>
    <w:rsid w:val="40CF2241"/>
    <w:rsid w:val="54586380"/>
    <w:rsid w:val="62225A77"/>
    <w:rsid w:val="71E17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BF3791"/>
  <w15:docId w15:val="{088BB5A5-171F-48FB-B19D-F18EE2636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720"/>
      <w:jc w:val="both"/>
    </w:pPr>
    <w:rPr>
      <w:rFonts w:ascii="仿宋_GB2312" w:eastAsia="仿宋_GB2312" w:hAnsi="仿宋_GB2312" w:cs="Times New Roman"/>
      <w:color w:val="000000"/>
      <w:sz w:val="32"/>
      <w:szCs w:val="32"/>
    </w:rPr>
  </w:style>
  <w:style w:type="paragraph" w:styleId="1">
    <w:name w:val="heading 1"/>
    <w:basedOn w:val="a"/>
    <w:next w:val="a"/>
    <w:qFormat/>
    <w:pPr>
      <w:outlineLvl w:val="0"/>
    </w:pPr>
    <w:rPr>
      <w:rFonts w:ascii="黑体" w:eastAsia="黑体" w:hAnsi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eastAsia="宋体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Title"/>
    <w:basedOn w:val="a"/>
    <w:next w:val="a"/>
    <w:uiPriority w:val="10"/>
    <w:qFormat/>
    <w:pPr>
      <w:spacing w:line="240" w:lineRule="auto"/>
      <w:ind w:firstLineChars="0" w:firstLine="0"/>
      <w:jc w:val="center"/>
    </w:pPr>
    <w:rPr>
      <w:rFonts w:ascii="长城小标宋体" w:eastAsia="长城小标宋体" w:hAnsi="长城小标宋体" w:cs="长城小标宋体"/>
      <w:sz w:val="44"/>
      <w:szCs w:val="44"/>
    </w:rPr>
  </w:style>
  <w:style w:type="paragraph" w:customStyle="1" w:styleId="aa">
    <w:name w:val="附件"/>
    <w:basedOn w:val="1"/>
    <w:next w:val="a"/>
    <w:qFormat/>
    <w:pPr>
      <w:ind w:firstLineChars="0" w:firstLine="0"/>
    </w:pPr>
  </w:style>
  <w:style w:type="paragraph" w:customStyle="1" w:styleId="ab">
    <w:name w:val="正文四号"/>
    <w:basedOn w:val="a"/>
    <w:qFormat/>
    <w:rPr>
      <w:rFonts w:hint="eastAsia"/>
      <w:sz w:val="28"/>
      <w:szCs w:val="28"/>
    </w:rPr>
  </w:style>
  <w:style w:type="character" w:customStyle="1" w:styleId="a4">
    <w:name w:val="文档结构图 字符"/>
    <w:basedOn w:val="a0"/>
    <w:link w:val="a3"/>
    <w:rPr>
      <w:rFonts w:ascii="宋体" w:eastAsia="宋体" w:hAnsi="仿宋_GB2312" w:cs="Times New Roman"/>
      <w:color w:val="000000"/>
      <w:sz w:val="18"/>
      <w:szCs w:val="18"/>
    </w:rPr>
  </w:style>
  <w:style w:type="character" w:customStyle="1" w:styleId="a8">
    <w:name w:val="页眉 字符"/>
    <w:basedOn w:val="a0"/>
    <w:link w:val="a7"/>
    <w:rPr>
      <w:rFonts w:ascii="仿宋_GB2312" w:eastAsia="仿宋_GB2312" w:hAnsi="仿宋_GB2312" w:cs="Times New Roman"/>
      <w:color w:val="000000"/>
      <w:sz w:val="18"/>
      <w:szCs w:val="18"/>
    </w:rPr>
  </w:style>
  <w:style w:type="character" w:customStyle="1" w:styleId="a6">
    <w:name w:val="页脚 字符"/>
    <w:basedOn w:val="a0"/>
    <w:link w:val="a5"/>
    <w:rPr>
      <w:rFonts w:ascii="仿宋_GB2312" w:eastAsia="仿宋_GB2312" w:hAnsi="仿宋_GB2312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166</Words>
  <Characters>950</Characters>
  <Application>Microsoft Office Word</Application>
  <DocSecurity>0</DocSecurity>
  <Lines>7</Lines>
  <Paragraphs>2</Paragraphs>
  <ScaleCrop>false</ScaleCrop>
  <Company>bonj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19</cp:revision>
  <dcterms:created xsi:type="dcterms:W3CDTF">2026-07-13T06:09:00Z</dcterms:created>
  <dcterms:modified xsi:type="dcterms:W3CDTF">2026-09-09T06:51:00Z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KSOTemplateDocerSaveRecord">
    <vt:lpwstr>eyJoZGlkIjoiNGVjMGI2NjNiY2NhZDgyYzA5MTcxNzUxOTEzMzRjMGYiLCJ1c2VySWQiOiI5MjY1NDE4MjAifQ==</vt:lpwstr>
  </property>
  <property fmtid="{D5CDD505-2E9C-101B-9397-08002B2CF9AE}" pid="4" name="ICV">
    <vt:lpwstr>0567FEA824BC40CC8C0F4CB2643A7745_12</vt:lpwstr>
  </property>
</Properties>
</file>