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C60C">
      <w:pPr>
        <w:spacing w:line="240" w:lineRule="auto"/>
        <w:jc w:val="center"/>
        <w:rPr>
          <w:rFonts w:ascii="方正黑体_GBK" w:hAnsi="方正黑体_GBK" w:eastAsia="方正黑体_GBK"/>
          <w:b/>
          <w:bCs/>
          <w:vanish w:val="0"/>
          <w:kern w:val="0"/>
          <w:sz w:val="36"/>
          <w:szCs w:val="20"/>
        </w:rPr>
      </w:pPr>
      <w:r>
        <w:rPr>
          <w:rFonts w:hint="eastAsia" w:ascii="方正黑体_GBK" w:hAnsi="方正黑体_GBK" w:eastAsia="方正黑体_GBK"/>
          <w:b/>
          <w:bCs/>
          <w:vanish w:val="0"/>
          <w:kern w:val="0"/>
          <w:sz w:val="36"/>
          <w:szCs w:val="20"/>
        </w:rPr>
        <w:t>特别提示页</w:t>
      </w:r>
    </w:p>
    <w:p w14:paraId="43A21D1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★关于理财产品与存款产品的提示</w:t>
      </w:r>
    </w:p>
    <w:p w14:paraId="22651CF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理财产品与存款存在明显区别，理财非存款、产品有风险、投资须谨慎。</w:t>
      </w:r>
    </w:p>
    <w:p w14:paraId="2BB99A1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★关于理财产品的过往业绩的提示</w:t>
      </w:r>
    </w:p>
    <w:p w14:paraId="04B5E9D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vanish w:val="0"/>
          <w:kern w:val="0"/>
          <w:sz w:val="20"/>
          <w:szCs w:val="20"/>
        </w:rPr>
        <w:t>理财产品过往业绩不代表其未来表现，不等于理财产品实际受益，投资须谨慎。</w:t>
      </w:r>
    </w:p>
    <w:p w14:paraId="0168373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★关于理财产品的业绩比较基准和业绩报酬计提基准的提示</w:t>
      </w:r>
    </w:p>
    <w:p w14:paraId="4E96911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本产品的业绩比较基准或业绩报酬计提基准等类似表述不代表投资者可能获得的实际收益，亦不构成产品管理人对本产品的任何收益承诺，仅供投资者进行投资决定时参考。</w:t>
      </w:r>
    </w:p>
    <w:p w14:paraId="1AAD182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★关于理财产品不保证本金和收益的提示</w:t>
      </w:r>
    </w:p>
    <w:p w14:paraId="04C01D2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14:paraId="50FFCA9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★关于销售文件的组成和编制的提示</w:t>
      </w:r>
    </w:p>
    <w:p w14:paraId="7C67831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理财产品投资协议书》、《理财产品说明书》、《理财产品风险揭示书》、《理财产品销售协议书》（具体名称及内容以销售机构为准，下同）、《投资者权益须知》（具体名称及内容以销售机构为准，下同）等文件共同构成一份完整且不可分割的理财产品销售文件。</w:t>
      </w:r>
    </w:p>
    <w:p w14:paraId="22CB6F4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★关于投资者适当性的提示</w:t>
      </w:r>
    </w:p>
    <w:p w14:paraId="6BFF63E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14:paraId="7C7C9FC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★关于投资者信息的提示</w:t>
      </w:r>
    </w:p>
    <w:p w14:paraId="4A962E7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投资者在此同意并授权，产品管理人可根据监管要求和合同约定，为理财产品登记、反洗钱工作等需要，向登记部门或监管机构及相关方提供投资者身份信息、持仓信息等相关信息。</w:t>
      </w:r>
    </w:p>
    <w:p w14:paraId="2CF5548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★关于理财产品信息披露的提示</w:t>
      </w:r>
    </w:p>
    <w:p w14:paraId="52EBF24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在购买本产品后，投资者应随时关注该理财产品的信息披露情况，及时获取相关信息。</w:t>
      </w:r>
    </w:p>
    <w:p w14:paraId="7E13A38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★关于理财产品咨询的提示</w:t>
      </w:r>
    </w:p>
    <w:p w14:paraId="2206E11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投资者对本理财产品及销售文件的内容有任何疑问，请向产品管理人或销售机构咨询。</w:t>
      </w:r>
    </w:p>
    <w:p w14:paraId="5C16715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★关于65周岁以上投资者购买的提示</w:t>
      </w:r>
    </w:p>
    <w:p w14:paraId="4F888C40">
      <w:pPr>
        <w:keepNext w:val="0"/>
        <w:keepLines w:val="0"/>
        <w:pageBreakBefore w:val="0"/>
        <w:widowControl/>
        <w:suppressLineNumbers w:val="0"/>
        <w:suppressAutoHyphens w:val="0"/>
        <w:spacing w:line="240" w:lineRule="auto"/>
        <w:ind w:firstLine="400" w:firstLineChars="200"/>
        <w:jc w:val="left"/>
        <w:rPr>
          <w:rFonts w:ascii="方正黑体_GBK" w:hAnsi="方正黑体_GBK" w:eastAsia="方正黑体_GBK"/>
          <w:b/>
          <w:bCs/>
          <w:vanish w:val="0"/>
          <w:kern w:val="0"/>
          <w:sz w:val="36"/>
          <w:szCs w:val="36"/>
        </w:rPr>
      </w:pPr>
      <w:r>
        <w:rPr>
          <w:rFonts w:hint="eastAsia" w:ascii="方正黑体_GBK" w:hAnsi="方正黑体_GBK" w:eastAsia="方正黑体_GBK"/>
          <w:vanish w:val="0"/>
          <w:kern w:val="0"/>
          <w:sz w:val="20"/>
          <w:szCs w:val="20"/>
        </w:rPr>
        <w:t>风险等级为（中）高级的理财产品，请65周岁以上的投资者谨慎购买，产品风险情况详见风险揭示书。</w:t>
      </w:r>
      <w:r>
        <w:rPr>
          <w:rFonts w:ascii="方正黑体_GBK" w:hAnsi="方正黑体_GBK" w:eastAsia="方正黑体_GBK"/>
          <w:b/>
          <w:bCs/>
          <w:sz w:val="36"/>
          <w:szCs w:val="20"/>
          <w:lang w:val="en-US" w:eastAsia="zh-CN"/>
        </w:rPr>
        <w:br w:type="page"/>
      </w:r>
      <w:bookmarkStart w:id="0" w:name="_GoBack"/>
      <w:bookmarkEnd w:id="0"/>
    </w:p>
    <w:p w14:paraId="191CB0A3">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17A9B711">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480C9A6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color w:val="3D3D3D"/>
          <w:sz w:val="18"/>
          <w:szCs w:val="18"/>
          <w:lang w:val="en-US" w:eastAsia="zh-CN"/>
        </w:rPr>
        <w:t>（具体名称及内容以销售机构为准，下同）《投资者权益须知》（具体名称及内容以销售机构为准，下同）</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7220E1B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0834D85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6C7D988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295F147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6CC058A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211E3A2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19795BA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527C28D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402AA00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081EB7E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1960F58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451F302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41203FD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3280F46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22308BD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2814DDD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752C107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56B0EEC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758A7C5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77660F8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54E37E0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7E56DD4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2417982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28C00330">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color w:val="3D3D3D"/>
          <w:kern w:val="0"/>
          <w:sz w:val="18"/>
          <w:szCs w:val="18"/>
        </w:rPr>
        <w:t>（十八）关联交易风险：在合法合规且履行应履行的内、外部程序后，理财产品可能投资于管理人或托管机构的主要股东、实际控制人、一致行动人、最终受益人，托管机构，同一股东或托管机构控股的机构，或者与管理人或托管机构有重大利害关系的机构发行或承销的证券，或者从事其他关联交易；本理财产品也可能通过管理人的关联方进行托管或销售，本理财产品的销售机构及托管机构以说明书披露为准。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7755A8BE">
      <w:pPr>
        <w:pStyle w:val="15"/>
        <w:keepNext w:val="0"/>
        <w:keepLines w:val="0"/>
        <w:pageBreakBefore w:val="0"/>
        <w:widowControl/>
        <w:suppressLineNumbers w:val="0"/>
        <w:suppressAutoHyphens w:val="0"/>
        <w:spacing w:line="240" w:lineRule="auto"/>
        <w:ind w:firstLine="260"/>
        <w:rPr>
          <w:rFonts w:hint="eastAsia" w:ascii="方正黑体_GBK" w:hAnsi="方正黑体_GBK" w:eastAsia="方正黑体_GBK"/>
          <w:color w:val="3D3D3D"/>
          <w:sz w:val="18"/>
          <w:szCs w:val="18"/>
        </w:rPr>
      </w:pPr>
      <w:r>
        <w:rPr>
          <w:rFonts w:hint="eastAsia" w:ascii="方正黑体_GBK" w:hAnsi="方正黑体_GBK" w:eastAsia="方正黑体_GBK"/>
          <w:color w:val="3D3D3D"/>
          <w:sz w:val="18"/>
          <w:szCs w:val="18"/>
        </w:rPr>
        <w:t>第二条 本理财产品特定风险揭示</w:t>
      </w:r>
    </w:p>
    <w:p w14:paraId="54F4AEA2">
      <w:pPr>
        <w:spacing w:line="240" w:lineRule="auto"/>
        <w:rPr>
          <w:sz w:val="28"/>
          <w:szCs w:val="28"/>
        </w:rPr>
      </w:pPr>
      <w:r>
        <w:rPr>
          <w:rFonts w:ascii="方正黑体_GBK" w:hAnsi="方正黑体_GBK" w:eastAsia="方正黑体_GBK" w:cs="宋体"/>
          <w:b/>
          <w:sz w:val="18"/>
          <w:szCs w:val="24"/>
        </w:rPr>
        <w:t xml:space="preserve">    1.债券类资产投资风险</w:t>
      </w:r>
    </w:p>
    <w:p w14:paraId="0CAFD63B">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2FC18F3D">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6C162C54">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1E9CC145">
      <w:pPr>
        <w:spacing w:line="240" w:lineRule="auto"/>
        <w:rPr>
          <w:sz w:val="28"/>
          <w:szCs w:val="28"/>
        </w:rPr>
      </w:pPr>
      <w:r>
        <w:rPr>
          <w:rFonts w:ascii="方正黑体_GBK" w:hAnsi="方正黑体_GBK" w:eastAsia="方正黑体_GBK" w:cs="宋体"/>
          <w:b/>
          <w:sz w:val="18"/>
          <w:szCs w:val="24"/>
        </w:rPr>
        <w:t xml:space="preserve">    3.资产管理产品投资风险</w:t>
      </w:r>
    </w:p>
    <w:p w14:paraId="177C3903">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07B93320">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4091C6F3">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7E682DB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6"/>
        </w:rPr>
      </w:pPr>
      <w:r>
        <w:rPr>
          <w:rFonts w:hint="eastAsia" w:ascii="方正黑体_GBK" w:hAnsi="方正黑体_GBK" w:eastAsia="方正黑体_GBK"/>
          <w:b/>
          <w:bCs/>
          <w:vanish w:val="0"/>
          <w:color w:val="3D3D3D"/>
          <w:kern w:val="0"/>
          <w:sz w:val="18"/>
          <w:szCs w:val="16"/>
        </w:rPr>
        <w:t>第三条</w:t>
      </w:r>
      <w:r>
        <w:rPr>
          <w:rFonts w:ascii="方正黑体_GBK" w:hAnsi="方正黑体_GBK" w:eastAsia="方正黑体_GBK"/>
          <w:b/>
          <w:bCs/>
          <w:vanish w:val="0"/>
          <w:color w:val="3D3D3D"/>
          <w:kern w:val="0"/>
          <w:sz w:val="18"/>
          <w:szCs w:val="16"/>
        </w:rPr>
        <w:t xml:space="preserve"> </w:t>
      </w:r>
      <w:r>
        <w:rPr>
          <w:rFonts w:hint="eastAsia" w:ascii="方正黑体_GBK" w:hAnsi="方正黑体_GBK" w:eastAsia="方正黑体_GBK"/>
          <w:b/>
          <w:bCs/>
          <w:vanish w:val="0"/>
          <w:color w:val="3D3D3D"/>
          <w:kern w:val="0"/>
          <w:sz w:val="18"/>
          <w:szCs w:val="16"/>
        </w:rPr>
        <w:t>本理财产品风险管理措施</w:t>
      </w:r>
    </w:p>
    <w:p w14:paraId="7D311BC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6"/>
        </w:rPr>
      </w:pPr>
      <w:r>
        <w:rPr>
          <w:rFonts w:hint="eastAsia" w:ascii="方正黑体_GBK" w:hAnsi="方正黑体_GBK" w:eastAsia="方正黑体_GBK"/>
          <w:b/>
          <w:bCs/>
          <w:vanish w:val="0"/>
          <w:color w:val="3D3D3D"/>
          <w:kern w:val="0"/>
          <w:sz w:val="18"/>
          <w:szCs w:val="16"/>
        </w:rPr>
        <w:t>管理人将本着“诚实信用、勤勉尽责”的原则，依据法律法规及产品销售文件约定，对理财产品设立、投资、运作及终止的全过程实施全面风险管理。管理人已建立覆盖风险识别、评估、监测、预警、处置等环节的全面风险管理体系，综合运用投资分散化、准入管理、限额管理、集中度管控、压力测试、合规审查、关联交易公允性管理、业务流程及信息系统控制等手段，对产品可能面临的政策风险、信用风险、市场风险、流动性风险、交易对手风险、利率风险、汇率风险、通货膨胀风险、抵质押物变现风险、理财产品不成立风险、延期分配风险、提前终止风险、信息传递风险、不可抗力及以外事件风险等各类风险（如有）进行管控。</w:t>
      </w:r>
    </w:p>
    <w:p w14:paraId="6477597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6"/>
        </w:rPr>
      </w:pPr>
      <w:r>
        <w:rPr>
          <w:rFonts w:hint="eastAsia" w:ascii="方正黑体_GBK" w:hAnsi="方正黑体_GBK" w:eastAsia="方正黑体_GBK"/>
          <w:b/>
          <w:bCs/>
          <w:vanish w:val="0"/>
          <w:color w:val="3D3D3D"/>
          <w:kern w:val="0"/>
          <w:sz w:val="18"/>
          <w:szCs w:val="16"/>
        </w:rPr>
        <w:t>管理人上述风险管控措施为管理人基于正常市场环境及合理预期而设，不构成管理人对理财产品风险的完全消除或对理财产品本金安全和理财产品收益的任何承诺与保证。理财产品在实际运作中仍可能因市场、政策、操作、不可抗力等各类因素而遭受超出管理人风险控制措施覆盖范围的风险事件，从而导致理财产品净值波动乃至本金损失。</w:t>
      </w:r>
    </w:p>
    <w:p w14:paraId="15C8E65A">
      <w:pPr>
        <w:pStyle w:val="15"/>
        <w:spacing w:line="240" w:lineRule="auto"/>
        <w:ind w:firstLine="360" w:firstLineChars="200"/>
        <w:rPr>
          <w:rFonts w:hint="eastAsia" w:ascii="方正黑体_GBK" w:hAnsi="方正黑体_GBK" w:eastAsia="方正黑体_GBK"/>
          <w:b/>
          <w:sz w:val="18"/>
          <w:szCs w:val="18"/>
        </w:rPr>
      </w:pPr>
      <w:r>
        <w:rPr>
          <w:rFonts w:hint="eastAsia" w:ascii="方正黑体_GBK" w:hAnsi="方正黑体_GBK" w:eastAsia="方正黑体_GBK" w:cs="Times New Roman"/>
          <w:b/>
          <w:bCs/>
          <w:color w:val="3D3D3D"/>
          <w:sz w:val="18"/>
          <w:szCs w:val="16"/>
          <w:lang w:val="en-US" w:eastAsia="zh-CN"/>
        </w:rPr>
        <w:t>投资者在投资本理财产品前，应审慎阅读并理解本理财产品风险揭示书、产品说明书等全部法律文件，充分认识投资本理财产品所涉风险及其不确定性，结合自身风险承受能力独立做出投资判断，并自行承担相应的投资风险。</w:t>
      </w:r>
    </w:p>
    <w:p w14:paraId="42E03BD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2429E78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98天</w:t>
      </w:r>
      <w:r>
        <w:rPr>
          <w:rFonts w:hint="eastAsia" w:ascii="方正黑体_GBK" w:hAnsi="方正黑体_GBK" w:eastAsia="方正黑体_GBK"/>
          <w:b/>
          <w:bCs w:val="0"/>
          <w:vanish w:val="0"/>
          <w:color w:val="3D3D3D"/>
          <w:kern w:val="0"/>
          <w:sz w:val="18"/>
          <w:szCs w:val="18"/>
        </w:rPr>
        <w:t>。</w:t>
      </w:r>
    </w:p>
    <w:p w14:paraId="2733A0FB">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6B06BF99">
      <w:pPr>
        <w:pStyle w:val="28"/>
        <w:pBdr>
          <w:top w:val="none" w:color="auto" w:sz="0" w:space="0"/>
          <w:left w:val="none" w:color="auto" w:sz="0" w:space="0"/>
          <w:bottom w:val="none" w:color="auto" w:sz="0" w:space="0"/>
          <w:right w:val="none" w:color="auto" w:sz="0" w:space="0"/>
        </w:pBdr>
        <w:spacing w:line="240" w:lineRule="auto"/>
        <w:ind w:firstLine="360" w:firstLineChars="200"/>
        <w:rPr>
          <w:rFonts w:ascii="方正黑体_GBK" w:hAnsi="方正黑体_GBK" w:eastAsia="方正黑体_GBK"/>
          <w:b/>
          <w:bCs/>
          <w:vanish w:val="0"/>
          <w:color w:val="3D3D3D"/>
          <w:sz w:val="18"/>
          <w:szCs w:val="16"/>
        </w:rPr>
      </w:pPr>
      <w:r>
        <w:rPr>
          <w:rFonts w:ascii="方正黑体_GBK" w:hAnsi="方正黑体_GBK" w:eastAsia="方正黑体_GBK" w:cs="Times New Roman"/>
          <w:b/>
          <w:bCs/>
          <w:vanish w:val="0"/>
          <w:color w:val="3D3D3D"/>
          <w:sz w:val="18"/>
          <w:szCs w:val="16"/>
        </w:rPr>
        <w:t>产品存续期内，管理人可能根据市场变化对产品风险等级进行动态评估和调整，并及时告知销售机构和投资者。</w:t>
      </w:r>
    </w:p>
    <w:p w14:paraId="6BCD217D">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2D44D53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51F52DF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普通投资者在首次通过销售机构购买理财产品时应根据销售机构的要求进行风险承受能力评估。如影响您风险承受能力的因素发生变化，请及时完成风险承受能力评估。</w:t>
      </w:r>
    </w:p>
    <w:p w14:paraId="7DAEC3C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vanish w:val="0"/>
          <w:sz w:val="18"/>
          <w:szCs w:val="18"/>
        </w:rPr>
      </w:pPr>
      <w:r>
        <w:rPr>
          <w:rFonts w:hint="eastAsia" w:ascii="方正黑体_GBK" w:hAnsi="方正黑体_GBK" w:eastAsia="方正黑体_GBK"/>
          <w:b/>
          <w:bCs/>
          <w:vanish w:val="0"/>
          <w:color w:val="3D3D3D"/>
          <w:kern w:val="0"/>
          <w:sz w:val="18"/>
          <w:szCs w:val="18"/>
        </w:rPr>
        <w:t>最不利投资情形下的投资结果：若投资者认购或申购本理财产品，最不利情况下，投资组合内所有资产均发生以上所述的风险事件，且投资组合内所有资产均发生全额损失，则投资者赎回或到期收到款项为0，即投资者面临全部本金的损失。为保证当期理财投资者权益而产生的费用由当期理财产品承担。</w:t>
      </w:r>
    </w:p>
    <w:p w14:paraId="60DF4DE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hint="eastAsia"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color w:val="3D3D3D"/>
          <w:sz w:val="18"/>
          <w:szCs w:val="18"/>
          <w:lang w:val="en-US" w:eastAsia="zh-CN"/>
        </w:rPr>
        <w:t>示例：如投资者购买本理财产品，本金为</w:t>
      </w:r>
      <w:r>
        <w:rPr>
          <w:rFonts w:hint="eastAsia" w:ascii="方正黑体_GBK" w:hAnsi="方正黑体_GBK" w:eastAsia="方正黑体_GBK"/>
          <w:b/>
          <w:bCs/>
          <w:color w:val="3D3D3D"/>
          <w:sz w:val="18"/>
          <w:szCs w:val="18"/>
          <w:lang w:val="en-US" w:eastAsia="zh-CN"/>
        </w:rPr>
        <w:t>10</w:t>
      </w:r>
      <w:r>
        <w:rPr>
          <w:rFonts w:hint="eastAsia" w:ascii="方正黑体_GBK" w:hAnsi="方正黑体_GBK" w:eastAsia="方正黑体_GBK" w:cs="Times New Roman"/>
          <w:b/>
          <w:bCs/>
          <w:color w:val="3D3D3D"/>
          <w:sz w:val="18"/>
          <w:szCs w:val="18"/>
          <w:lang w:val="en-US" w:eastAsia="zh-CN"/>
        </w:rPr>
        <w:t>万元，在理财产品资产组合项下资产全部亏损的最不利情况下，理财产品</w:t>
      </w:r>
      <w:r>
        <w:rPr>
          <w:rFonts w:hint="eastAsia" w:ascii="方正黑体_GBK" w:hAnsi="方正黑体_GBK" w:eastAsia="方正黑体_GBK"/>
          <w:b/>
          <w:bCs/>
          <w:color w:val="3D3D3D"/>
          <w:sz w:val="18"/>
          <w:szCs w:val="18"/>
          <w:lang w:val="en-US" w:eastAsia="zh-CN"/>
        </w:rPr>
        <w:t>10</w:t>
      </w:r>
      <w:r>
        <w:rPr>
          <w:rFonts w:hint="eastAsia" w:ascii="方正黑体_GBK" w:hAnsi="方正黑体_GBK" w:eastAsia="方正黑体_GBK" w:cs="Times New Roman"/>
          <w:b/>
          <w:bCs/>
          <w:color w:val="3D3D3D"/>
          <w:sz w:val="18"/>
          <w:szCs w:val="18"/>
          <w:lang w:val="en-US" w:eastAsia="zh-CN"/>
        </w:rPr>
        <w:t>万元本金将全部损失。</w:t>
      </w:r>
    </w:p>
    <w:p w14:paraId="505E328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1F6DBB8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6ACD667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71C04F94">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62C880A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65281C8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w:t>
      </w:r>
      <w:r>
        <w:rPr>
          <w:rFonts w:hint="eastAsia" w:ascii="方正黑体_GBK" w:hAnsi="方正黑体_GBK" w:eastAsia="方正黑体_GBK" w:cs="Times New Roman"/>
          <w:b/>
          <w:bCs w:val="0"/>
          <w:color w:val="3D3D3D"/>
          <w:sz w:val="20"/>
          <w:szCs w:val="20"/>
          <w:u w:val="single"/>
          <w:lang w:val="en-US" w:eastAsia="zh-CN"/>
        </w:rPr>
        <w:t>投资者</w:t>
      </w:r>
      <w:r>
        <w:rPr>
          <w:rFonts w:hint="eastAsia" w:ascii="方正黑体_GBK" w:hAnsi="方正黑体_GBK" w:eastAsia="方正黑体_GBK" w:cs="Times New Roman"/>
          <w:b/>
          <w:bCs w:val="0"/>
          <w:vanish w:val="0"/>
          <w:color w:val="3D3D3D"/>
          <w:kern w:val="0"/>
          <w:sz w:val="20"/>
          <w:szCs w:val="20"/>
          <w:u w:val="single"/>
        </w:rPr>
        <w:t>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42C2C84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2714986A">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63455D79">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p>
    <w:p w14:paraId="036D8AE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219EE46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7DE0C447">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6FBD93F0">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4B89B8D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47E24E7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0D99EB2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07AD732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657A935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6191285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5D75D1B0">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0129942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4CA04110">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2591EB89">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3F5D276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45841F92">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516D6DD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15A60F73">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371F7F5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7225C3F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24553AB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069A0F2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3AAEDD9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77AB7E5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3BE2F773">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5C1DBE0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297B222A">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288EE73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3FD6BA64">
      <w:pPr>
        <w:spacing w:line="240" w:lineRule="auto"/>
        <w:rPr>
          <w:sz w:val="28"/>
          <w:szCs w:val="28"/>
        </w:rPr>
      </w:pPr>
      <w:r>
        <w:rPr>
          <w:rFonts w:ascii="方正黑体_GBK" w:hAnsi="方正黑体_GBK" w:eastAsia="方正黑体_GBK"/>
          <w:sz w:val="28"/>
          <w:szCs w:val="28"/>
        </w:rPr>
        <w:br w:type="page"/>
      </w:r>
    </w:p>
    <w:p w14:paraId="7AB8EC0D">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6EF6E532">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21327B2A">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2FD15087">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37B393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732B63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南银理财珠联璧合鑫逸稳三个月152期封闭式公募人民币理财产品</w:t>
            </w:r>
          </w:p>
        </w:tc>
      </w:tr>
      <w:tr w14:paraId="7252395C">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27696A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16E5CB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3AA8EDED">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0F3D3A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2BDEB4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5ACD3669">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5228D5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34278BE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ZZ700322600315</w:t>
            </w:r>
          </w:p>
        </w:tc>
      </w:tr>
      <w:tr w14:paraId="2FA27D84">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95001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5B1A83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Z7003226000284(投资者可依据该编码在中国理财网www.chinawealth.com.cn查询理财产品相关信息）</w:t>
            </w:r>
          </w:p>
        </w:tc>
      </w:tr>
      <w:tr w14:paraId="39573B53">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6E0C29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6A48EF6A">
            <w:pPr>
              <w:spacing w:line="240" w:lineRule="auto"/>
              <w:rPr>
                <w:sz w:val="28"/>
                <w:szCs w:val="28"/>
              </w:rPr>
            </w:pPr>
            <w:r>
              <w:rPr>
                <w:rFonts w:ascii="方正黑体_GBK" w:hAnsi="方正黑体_GBK" w:eastAsia="方正黑体_GBK" w:cs="宋体"/>
                <w:sz w:val="22"/>
                <w:szCs w:val="22"/>
              </w:rPr>
              <w:t>A份额：NYXY001998</w:t>
            </w:r>
          </w:p>
          <w:p w14:paraId="77582194">
            <w:pPr>
              <w:spacing w:line="240" w:lineRule="auto"/>
              <w:rPr>
                <w:sz w:val="28"/>
                <w:szCs w:val="28"/>
              </w:rPr>
            </w:pPr>
            <w:r>
              <w:rPr>
                <w:rFonts w:ascii="方正黑体_GBK" w:hAnsi="方正黑体_GBK" w:eastAsia="方正黑体_GBK" w:cs="宋体"/>
                <w:sz w:val="22"/>
                <w:szCs w:val="22"/>
              </w:rPr>
              <w:t>B份额：NYXY001999</w:t>
            </w:r>
          </w:p>
          <w:p w14:paraId="64A0F6CA">
            <w:pPr>
              <w:spacing w:line="240" w:lineRule="auto"/>
              <w:rPr>
                <w:sz w:val="28"/>
                <w:szCs w:val="28"/>
              </w:rPr>
            </w:pPr>
            <w:r>
              <w:rPr>
                <w:rFonts w:ascii="方正黑体_GBK" w:hAnsi="方正黑体_GBK" w:eastAsia="方正黑体_GBK" w:cs="宋体"/>
                <w:sz w:val="22"/>
                <w:szCs w:val="22"/>
              </w:rPr>
              <w:t>C份额：NYXY002000</w:t>
            </w:r>
          </w:p>
          <w:p w14:paraId="3F396617">
            <w:pPr>
              <w:spacing w:line="240" w:lineRule="auto"/>
              <w:rPr>
                <w:sz w:val="28"/>
                <w:szCs w:val="28"/>
              </w:rPr>
            </w:pPr>
            <w:r>
              <w:rPr>
                <w:rFonts w:ascii="方正黑体_GBK" w:hAnsi="方正黑体_GBK" w:eastAsia="方正黑体_GBK" w:cs="宋体"/>
                <w:sz w:val="22"/>
                <w:szCs w:val="22"/>
              </w:rPr>
              <w:t>E份额：NYXY002001</w:t>
            </w:r>
          </w:p>
          <w:p w14:paraId="0A5CA992">
            <w:pPr>
              <w:spacing w:line="240" w:lineRule="auto"/>
              <w:rPr>
                <w:sz w:val="28"/>
                <w:szCs w:val="28"/>
              </w:rPr>
            </w:pPr>
            <w:r>
              <w:rPr>
                <w:rFonts w:ascii="方正黑体_GBK" w:hAnsi="方正黑体_GBK" w:eastAsia="方正黑体_GBK" w:cs="宋体"/>
                <w:sz w:val="22"/>
                <w:szCs w:val="22"/>
              </w:rPr>
              <w:t>K份额：NYXY002003</w:t>
            </w:r>
          </w:p>
          <w:p w14:paraId="23C19BEB">
            <w:pPr>
              <w:spacing w:line="240" w:lineRule="auto"/>
              <w:rPr>
                <w:sz w:val="28"/>
                <w:szCs w:val="28"/>
              </w:rPr>
            </w:pPr>
            <w:r>
              <w:rPr>
                <w:rFonts w:ascii="方正黑体_GBK" w:hAnsi="方正黑体_GBK" w:eastAsia="方正黑体_GBK" w:cs="宋体"/>
                <w:sz w:val="22"/>
                <w:szCs w:val="22"/>
              </w:rPr>
              <w:t>L份额：NYXY002004</w:t>
            </w:r>
          </w:p>
          <w:p w14:paraId="3D22B9FB">
            <w:pPr>
              <w:spacing w:line="240" w:lineRule="auto"/>
              <w:rPr>
                <w:sz w:val="28"/>
                <w:szCs w:val="28"/>
              </w:rPr>
            </w:pPr>
            <w:r>
              <w:rPr>
                <w:rFonts w:ascii="方正黑体_GBK" w:hAnsi="方正黑体_GBK" w:eastAsia="方正黑体_GBK" w:cs="宋体"/>
                <w:sz w:val="22"/>
                <w:szCs w:val="22"/>
              </w:rPr>
              <w:t>N份额：NYXY002214</w:t>
            </w:r>
          </w:p>
          <w:p w14:paraId="608F464F">
            <w:pPr>
              <w:spacing w:line="240" w:lineRule="auto"/>
              <w:rPr>
                <w:sz w:val="28"/>
                <w:szCs w:val="28"/>
              </w:rPr>
            </w:pPr>
            <w:r>
              <w:rPr>
                <w:rFonts w:ascii="方正黑体_GBK" w:hAnsi="方正黑体_GBK" w:eastAsia="方正黑体_GBK" w:cs="宋体"/>
                <w:sz w:val="22"/>
                <w:szCs w:val="22"/>
              </w:rPr>
              <w:t>O份额：NYXY002215</w:t>
            </w:r>
          </w:p>
          <w:p w14:paraId="7FEA1245">
            <w:pPr>
              <w:spacing w:line="240" w:lineRule="auto"/>
              <w:rPr>
                <w:sz w:val="28"/>
                <w:szCs w:val="28"/>
              </w:rPr>
            </w:pPr>
            <w:r>
              <w:rPr>
                <w:rFonts w:ascii="方正黑体_GBK" w:hAnsi="方正黑体_GBK" w:eastAsia="方正黑体_GBK" w:cs="宋体"/>
                <w:sz w:val="22"/>
                <w:szCs w:val="22"/>
              </w:rPr>
              <w:t>B2份额：NYXY002216</w:t>
            </w:r>
          </w:p>
          <w:p w14:paraId="71C17B00">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5C1F74EA">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E2ECC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0C509607">
            <w:pPr>
              <w:spacing w:line="240" w:lineRule="auto"/>
              <w:rPr>
                <w:sz w:val="28"/>
                <w:szCs w:val="28"/>
              </w:rPr>
            </w:pPr>
            <w:r>
              <w:rPr>
                <w:rFonts w:ascii="方正黑体_GBK" w:hAnsi="方正黑体_GBK" w:eastAsia="方正黑体_GBK" w:cs="宋体"/>
                <w:sz w:val="22"/>
                <w:szCs w:val="22"/>
              </w:rPr>
              <w:t>全国</w:t>
            </w:r>
          </w:p>
        </w:tc>
      </w:tr>
      <w:tr w14:paraId="48AAA5B6">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40677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6AF08D2D">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613400EA">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379E4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70A0F30F">
            <w:pPr>
              <w:spacing w:line="240" w:lineRule="auto"/>
              <w:rPr>
                <w:sz w:val="28"/>
                <w:szCs w:val="28"/>
              </w:rPr>
            </w:pPr>
            <w:r>
              <w:rPr>
                <w:rFonts w:ascii="方正黑体_GBK" w:hAnsi="方正黑体_GBK" w:eastAsia="方正黑体_GBK" w:cs="宋体"/>
                <w:sz w:val="22"/>
                <w:szCs w:val="22"/>
              </w:rPr>
              <w:t>本理财产品规模上限为100亿元。</w:t>
            </w:r>
          </w:p>
        </w:tc>
      </w:tr>
      <w:tr w14:paraId="68EB0DD9">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B1B99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04F3E475">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3FEC79A8">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4823D350">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48580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19370DF1">
            <w:pPr>
              <w:spacing w:line="240" w:lineRule="auto"/>
              <w:rPr>
                <w:sz w:val="28"/>
                <w:szCs w:val="28"/>
              </w:rPr>
            </w:pPr>
            <w:r>
              <w:rPr>
                <w:rFonts w:ascii="方正黑体_GBK" w:hAnsi="方正黑体_GBK" w:eastAsia="方正黑体_GBK" w:cs="宋体"/>
                <w:color w:val="000000"/>
                <w:sz w:val="22"/>
                <w:szCs w:val="22"/>
              </w:rPr>
              <w:t>符合相关法律法规、监管规定要求的，经销售机构的风险承受能力评估体系评定为适合的个人和机构投资者。</w:t>
            </w:r>
          </w:p>
          <w:p w14:paraId="19D230A8">
            <w:pPr>
              <w:spacing w:line="240" w:lineRule="auto"/>
              <w:rPr>
                <w:sz w:val="28"/>
                <w:szCs w:val="28"/>
              </w:rPr>
            </w:pPr>
            <w:r>
              <w:rPr>
                <w:rFonts w:ascii="方正黑体_GBK" w:hAnsi="方正黑体_GBK" w:eastAsia="方正黑体_GBK" w:cs="宋体"/>
                <w:sz w:val="22"/>
                <w:szCs w:val="22"/>
              </w:rPr>
              <w:t>A份额：南银理财有限责任公司、南京银行股份有限公司（除新客、新资金、代发及对公客户外的其他客户）、北京农村商业银行股份有限公司、青岛银行股份有限公司、河北银行股份有限公司（除分行财富客户外的其他客户）、江苏常熟农村商业银行股份有限公司（1元起购）、江苏苏州农村商业银行股份有限公司、金华银行股份有限公司、江苏江南农村商业银行股份有限公司（1元起购）、广州农村商业银行股份有限公司、苏州银行股份有限公司、无锡农村商业银行股份有限公司、福建海峡银行股份有限公司、齐鲁银行股份有限公司（除白金/私行客户、财富客户外的其他客户）、北京银行股份有限公司、贵阳银行股份有限公司、天津农村商业银行股份有限公司(除企业拓展客户、个人新客和私钻客户外的其他客户)、山西银行股份有限公司、德州银行股份有限公司、云南红塔银行股份有限公司（除惠农客户和网金长尾客户外的其他客户）、海南银行股份有限公司、乌鲁木齐银行股份有限公司、上海农村商业银行股份有限公司、湖州银行股份有限公司（除代发客户外的其他客户）、宁波通商银行股份有限公司、石嘴山银行股份有限公司、无锡锡商银行股份有限公司、江苏丹阳农村商业银行股份有限公司、江苏宜兴农村商业银行股份有限公司、江苏响水农村商业银行股份有限公司（1元起购）、江苏民丰农村商业银行股份有限公司、江苏建湖农村商业银行股份有限公司、江苏东台农村商业银行股份有限公司、江苏南通农村商业银行股份有限公司、江苏扬州农村商业银行股份有限公司、江苏淮安农村商业银行股份有限公司、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1元起购）、江苏仪征农村商业银行股份有限公司（1元起购）、江苏沭阳农村商业银行股份有限公司、连云港东方农村商业银行股份有限公司、江苏灌云农村商业银行股份有限公司。</w:t>
            </w:r>
          </w:p>
          <w:p w14:paraId="024B1988">
            <w:pPr>
              <w:spacing w:line="240" w:lineRule="auto"/>
              <w:rPr>
                <w:sz w:val="28"/>
                <w:szCs w:val="28"/>
              </w:rPr>
            </w:pPr>
            <w:r>
              <w:rPr>
                <w:rFonts w:ascii="方正黑体_GBK" w:hAnsi="方正黑体_GBK" w:eastAsia="方正黑体_GBK" w:cs="宋体"/>
                <w:sz w:val="22"/>
                <w:szCs w:val="22"/>
              </w:rPr>
              <w:t>B份额：南京银行股份有限公司(新客或新资金或代发客户)、江苏太仓农村商业银行股份有限公司、温州银行股份有限公司、江苏张家港农村商业银行股份有限公司、浙江民泰商业银行股份有限公司、河北银行股份有限公司(分行财富客户)、广州银行股份有限公司、江苏常熟农村商业银行股份有限公司（1万元起购）、江苏江南农村商业银行股份有限公司(20万元起购)、长安银行股份有限公司、秦皇岛银行股份有限公司、齐鲁银行股份有限公司(白金/私行客户)、天津农村商业银行股份有限公司(企业拓展客户)、云南红塔银行股份有限公司（惠农客户）、兰州银行股份有限公司、甘肃银行股份有限公司(除财富客户外的其他客户)、东营银行股份有限公司、富邦华一银行有限公司、湖州银行股份有限公司(代发工资客户)、桂林银行股份有限公司、海南农村商业银行股份有限公司、江苏高淳农村商业银行股份有限公司、江苏新沂农村商业银行股份有限公司（1元起购）、江苏江都农村商业银行股份有限公司、江苏大丰农村商业银行股份有限公司、江苏镇江农村商业银行股份有限公司(20万元起购)、徐州农村商业银行股份有限公司(财富客户)、江苏紫金农村商业银行股份有限公司、江苏沛县农村商业银行股份有限公司（除财富客户外的其他客户）、江苏仪征农村商业银行股份有限公司(20万元起购)、江苏海安农村商业银行股份有限公司、江苏泰州农村商业银行股份有限公司（除普济医院客户外的其他客户）、江苏昆山农村商业银行股份有限公司（代发客户）。</w:t>
            </w:r>
          </w:p>
          <w:p w14:paraId="43D6F868">
            <w:pPr>
              <w:spacing w:line="240" w:lineRule="auto"/>
              <w:rPr>
                <w:sz w:val="28"/>
                <w:szCs w:val="28"/>
              </w:rPr>
            </w:pPr>
            <w:r>
              <w:rPr>
                <w:rFonts w:ascii="方正黑体_GBK" w:hAnsi="方正黑体_GBK" w:eastAsia="方正黑体_GBK" w:cs="宋体"/>
                <w:sz w:val="22"/>
                <w:szCs w:val="22"/>
              </w:rPr>
              <w:t>C份额：江苏江南农村商业银行股份有限公司(1000万元起购)、泰安银行股份有限公司（除私行客户外的其他客户）、齐鲁银行股份有限公司(财富客户)、哈密市商业银行股份有限公司、天津农村商业银行股份有限公司(个人新客)、云南红塔银行股份有限公司（网金长尾客户）、甘肃银行股份有限公司(财富客户)、江苏泰兴农村商业银行股份有限公司、江苏响水农村商业银行股份有限公司(50万元起购)、江苏靖江农村商业银行股份有限公司、江苏新沂农村商业银行股份有限公司（30万元起购）、江苏溧水农村商业银行股份有限公司、江苏兴化农村商业银行股份有限公司、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 10万元起购)、江苏沛县农村商业银行股份有限公司（财富客户）、江苏仪征农村商业银行股份有限公司( 50万元起购)、江苏泰州农村商业银行股份有限公司（普济医院客户）、江苏昆山农村商业银行股份有限公司（私行客户）。</w:t>
            </w:r>
          </w:p>
          <w:p w14:paraId="1E9FA350">
            <w:pPr>
              <w:spacing w:line="240" w:lineRule="auto"/>
              <w:rPr>
                <w:sz w:val="28"/>
                <w:szCs w:val="28"/>
              </w:rPr>
            </w:pPr>
            <w:r>
              <w:rPr>
                <w:rFonts w:ascii="方正黑体_GBK" w:hAnsi="方正黑体_GBK" w:eastAsia="方正黑体_GBK" w:cs="宋体"/>
                <w:sz w:val="22"/>
                <w:szCs w:val="22"/>
              </w:rPr>
              <w:t>E份额：南京银行股份有限公司（对公客户）。</w:t>
            </w:r>
          </w:p>
          <w:p w14:paraId="791B04AE">
            <w:pPr>
              <w:spacing w:line="240" w:lineRule="auto"/>
              <w:rPr>
                <w:sz w:val="28"/>
                <w:szCs w:val="28"/>
              </w:rPr>
            </w:pPr>
            <w:r>
              <w:rPr>
                <w:rFonts w:ascii="方正黑体_GBK" w:hAnsi="方正黑体_GBK" w:eastAsia="方正黑体_GBK" w:cs="宋体"/>
                <w:sz w:val="22"/>
                <w:szCs w:val="22"/>
              </w:rPr>
              <w:t>K份额：吉林银行股份有限公司。</w:t>
            </w:r>
          </w:p>
          <w:p w14:paraId="437C9DA1">
            <w:pPr>
              <w:spacing w:line="240" w:lineRule="auto"/>
              <w:rPr>
                <w:sz w:val="28"/>
                <w:szCs w:val="28"/>
              </w:rPr>
            </w:pPr>
            <w:r>
              <w:rPr>
                <w:rFonts w:ascii="方正黑体_GBK" w:hAnsi="方正黑体_GBK" w:eastAsia="方正黑体_GBK" w:cs="宋体"/>
                <w:sz w:val="22"/>
                <w:szCs w:val="22"/>
              </w:rPr>
              <w:t>L份额：泰安银行股份有限公司（私行客户）、天津农村商业银行股份有限公司(私钻客户)、江苏江南农村商业银行股份有限公司(2000万元起购)、朝阳银行股份有限公司。</w:t>
            </w:r>
          </w:p>
          <w:p w14:paraId="1CEA86E1">
            <w:pPr>
              <w:spacing w:line="240" w:lineRule="auto"/>
              <w:rPr>
                <w:sz w:val="28"/>
                <w:szCs w:val="28"/>
              </w:rPr>
            </w:pPr>
            <w:r>
              <w:rPr>
                <w:rFonts w:ascii="方正黑体_GBK" w:hAnsi="方正黑体_GBK" w:eastAsia="方正黑体_GBK" w:cs="宋体"/>
                <w:sz w:val="22"/>
                <w:szCs w:val="22"/>
              </w:rPr>
              <w:t>N份额：蒙商银行股份有限公司（除财富客户外的其他客户）。</w:t>
            </w:r>
          </w:p>
          <w:p w14:paraId="715B7FA2">
            <w:pPr>
              <w:spacing w:line="240" w:lineRule="auto"/>
              <w:rPr>
                <w:sz w:val="28"/>
                <w:szCs w:val="28"/>
              </w:rPr>
            </w:pPr>
            <w:r>
              <w:rPr>
                <w:rFonts w:ascii="方正黑体_GBK" w:hAnsi="方正黑体_GBK" w:eastAsia="方正黑体_GBK" w:cs="宋体"/>
                <w:sz w:val="22"/>
                <w:szCs w:val="22"/>
              </w:rPr>
              <w:t>O份额：蒙商银行股份有限公司（财富客户）。</w:t>
            </w:r>
          </w:p>
          <w:p w14:paraId="53FDA836">
            <w:pPr>
              <w:spacing w:line="240" w:lineRule="auto"/>
              <w:rPr>
                <w:sz w:val="28"/>
                <w:szCs w:val="28"/>
              </w:rPr>
            </w:pPr>
            <w:r>
              <w:rPr>
                <w:rFonts w:ascii="方正黑体_GBK" w:hAnsi="方正黑体_GBK" w:eastAsia="方正黑体_GBK" w:cs="宋体"/>
                <w:sz w:val="22"/>
                <w:szCs w:val="22"/>
              </w:rPr>
              <w:t>B2份额：郑州银行股份有限公司、江苏常熟农村商业银行股份有限公司（财富客户）。</w:t>
            </w:r>
          </w:p>
          <w:p w14:paraId="2120ED52">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5108C598">
            <w:pPr>
              <w:spacing w:line="240" w:lineRule="auto"/>
              <w:rPr>
                <w:sz w:val="28"/>
                <w:szCs w:val="28"/>
              </w:rPr>
            </w:pPr>
            <w:r>
              <w:rPr>
                <w:rFonts w:ascii="方正黑体_GBK" w:hAnsi="方正黑体_GBK" w:eastAsia="方正黑体_GBK" w:cs="宋体"/>
                <w:b/>
                <w:sz w:val="22"/>
                <w:szCs w:val="22"/>
              </w:rPr>
              <w:t>南京银行股份有限公司（新客或新资金或代发客户）：</w:t>
            </w:r>
            <w:r>
              <w:rPr>
                <w:rFonts w:ascii="方正黑体_GBK" w:hAnsi="方正黑体_GBK" w:eastAsia="方正黑体_GBK" w:cs="宋体"/>
                <w:sz w:val="22"/>
                <w:szCs w:val="22"/>
              </w:rPr>
              <w:t>新客是指2026年理财年日均余额为0的客户。新资金（5万）是指金融资产余额较上月月日均增长5万元及以上的客户。代发是指近90天内有过代发记录的客户（不含跨行代发、批量兑付、批量付息）。</w:t>
            </w:r>
          </w:p>
        </w:tc>
      </w:tr>
      <w:tr w14:paraId="02467C4D">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2CE4F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74ED3ABE">
            <w:pPr>
              <w:spacing w:line="240" w:lineRule="auto"/>
              <w:rPr>
                <w:sz w:val="28"/>
                <w:szCs w:val="28"/>
              </w:rPr>
            </w:pPr>
            <w:r>
              <w:rPr>
                <w:rFonts w:ascii="方正黑体_GBK" w:hAnsi="方正黑体_GBK" w:eastAsia="方正黑体_GBK" w:cs="宋体"/>
                <w:sz w:val="22"/>
                <w:szCs w:val="22"/>
              </w:rPr>
              <w:t>A份额/B份额/C份额/K份额/L份额/N份额/O份额/B2份额：</w:t>
            </w:r>
          </w:p>
          <w:p w14:paraId="3A746C71">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26EE67CB">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p w14:paraId="16E0599B">
            <w:pPr>
              <w:spacing w:line="240" w:lineRule="auto"/>
              <w:rPr>
                <w:sz w:val="28"/>
                <w:szCs w:val="28"/>
              </w:rPr>
            </w:pPr>
            <w:r>
              <w:rPr>
                <w:rFonts w:ascii="方正黑体_GBK" w:hAnsi="方正黑体_GBK" w:eastAsia="方正黑体_GBK" w:cs="宋体"/>
                <w:sz w:val="22"/>
                <w:szCs w:val="22"/>
              </w:rPr>
              <w:t>E份额：</w:t>
            </w:r>
          </w:p>
          <w:p w14:paraId="5AE839F2">
            <w:pPr>
              <w:spacing w:line="240" w:lineRule="auto"/>
              <w:rPr>
                <w:sz w:val="28"/>
                <w:szCs w:val="28"/>
              </w:rPr>
            </w:pPr>
            <w:r>
              <w:rPr>
                <w:rFonts w:ascii="方正黑体_GBK" w:hAnsi="方正黑体_GBK" w:eastAsia="方正黑体_GBK" w:cs="宋体"/>
                <w:sz w:val="22"/>
                <w:szCs w:val="22"/>
              </w:rPr>
              <w:t>机构投资者投资起点金额100万元人民币，以1元的整数倍递增；</w:t>
            </w:r>
          </w:p>
        </w:tc>
      </w:tr>
      <w:tr w14:paraId="42C4E008">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EDA6E77">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1DB85090">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548D18ED">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6A7FF797">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08F20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5E613A91">
            <w:pPr>
              <w:spacing w:line="240" w:lineRule="auto"/>
              <w:jc w:val="left"/>
              <w:rPr>
                <w:sz w:val="28"/>
                <w:szCs w:val="28"/>
              </w:rPr>
            </w:pPr>
            <w:r>
              <w:rPr>
                <w:rFonts w:ascii="方正黑体_GBK" w:hAnsi="方正黑体_GBK" w:eastAsia="方正黑体_GBK" w:cs="宋体"/>
                <w:color w:val="000000"/>
                <w:sz w:val="22"/>
                <w:szCs w:val="22"/>
              </w:rPr>
              <w:t>2026年09月16日 09:00—2026年09月22日 17:00</w:t>
            </w:r>
          </w:p>
        </w:tc>
      </w:tr>
      <w:tr w14:paraId="13631398">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EA2B7BA">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288B5499">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2A3F2447">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6ADB818">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534CE3C4">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6CDAAE7D">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2977C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69FD7339">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2026年09月23日</w:t>
            </w:r>
          </w:p>
        </w:tc>
      </w:tr>
      <w:tr w14:paraId="1C642933">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8311D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1875764C">
            <w:pPr>
              <w:spacing w:line="240" w:lineRule="auto"/>
              <w:rPr>
                <w:sz w:val="28"/>
                <w:szCs w:val="28"/>
              </w:rPr>
            </w:pPr>
            <w:r>
              <w:rPr>
                <w:rFonts w:ascii="方正黑体_GBK" w:hAnsi="方正黑体_GBK" w:eastAsia="方正黑体_GBK" w:cs="宋体"/>
                <w:sz w:val="22"/>
                <w:szCs w:val="22"/>
              </w:rPr>
              <w:t>2026年09月23日—实际到期日（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98天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41EFEFC5">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F48C7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22A37F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2026年12月30日</w:t>
            </w:r>
          </w:p>
        </w:tc>
      </w:tr>
      <w:tr w14:paraId="7FC4928D">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131648C">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727F4CEC">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75DE6711">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07AD8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74F51C08">
            <w:pPr>
              <w:spacing w:line="240" w:lineRule="auto"/>
              <w:rPr>
                <w:sz w:val="28"/>
                <w:szCs w:val="28"/>
              </w:rPr>
            </w:pPr>
            <w:r>
              <w:rPr>
                <w:rFonts w:ascii="方正黑体_GBK" w:hAnsi="方正黑体_GBK" w:eastAsia="方正黑体_GBK" w:cs="宋体"/>
                <w:sz w:val="22"/>
                <w:szCs w:val="22"/>
              </w:rPr>
              <w:t>（一）收益的构成</w:t>
            </w:r>
          </w:p>
          <w:p w14:paraId="17E88237">
            <w:pPr>
              <w:spacing w:line="240" w:lineRule="auto"/>
              <w:rPr>
                <w:sz w:val="28"/>
                <w:szCs w:val="28"/>
              </w:rPr>
            </w:pPr>
            <w:r>
              <w:rPr>
                <w:rFonts w:ascii="方正黑体_GBK" w:hAnsi="方正黑体_GBK" w:eastAsia="方正黑体_GBK" w:cs="宋体"/>
                <w:sz w:val="22"/>
                <w:szCs w:val="22"/>
              </w:rPr>
              <w:t>理财产品收益包括产品投资收益、利息收入、公允价值变动收益和其他收入并扣除相关费用后的余额。</w:t>
            </w:r>
          </w:p>
          <w:p w14:paraId="17EC192E">
            <w:pPr>
              <w:spacing w:line="240" w:lineRule="auto"/>
              <w:rPr>
                <w:sz w:val="28"/>
                <w:szCs w:val="28"/>
              </w:rPr>
            </w:pPr>
            <w:r>
              <w:rPr>
                <w:rFonts w:ascii="方正黑体_GBK" w:hAnsi="方正黑体_GBK" w:eastAsia="方正黑体_GBK" w:cs="宋体"/>
                <w:sz w:val="22"/>
                <w:szCs w:val="22"/>
              </w:rPr>
              <w:t>（二）收益分配原则</w:t>
            </w:r>
          </w:p>
          <w:p w14:paraId="58726C76">
            <w:pPr>
              <w:spacing w:line="240" w:lineRule="auto"/>
              <w:rPr>
                <w:sz w:val="28"/>
                <w:szCs w:val="28"/>
              </w:rPr>
            </w:pPr>
            <w:r>
              <w:rPr>
                <w:rFonts w:ascii="方正黑体_GBK" w:hAnsi="方正黑体_GBK" w:eastAsia="方正黑体_GBK" w:cs="宋体"/>
                <w:sz w:val="22"/>
                <w:szCs w:val="22"/>
              </w:rPr>
              <w:t>1.每一理财产品同一类份额享有同等分配权。如各类份额在费用收取上不同，其对应的可分配收益可能有所不同。</w:t>
            </w:r>
          </w:p>
          <w:p w14:paraId="0574FD2E">
            <w:pPr>
              <w:spacing w:line="240" w:lineRule="auto"/>
              <w:rPr>
                <w:sz w:val="28"/>
                <w:szCs w:val="28"/>
              </w:rPr>
            </w:pPr>
            <w:r>
              <w:rPr>
                <w:rFonts w:ascii="方正黑体_GBK" w:hAnsi="方正黑体_GBK" w:eastAsia="方正黑体_GBK" w:cs="宋体"/>
                <w:sz w:val="22"/>
                <w:szCs w:val="22"/>
              </w:rPr>
              <w:t>2.在符合法律法规及理财产品销售文件约定，并对理财产品份额持有人利益无实质不利影响的前提下，管理人可对理财产品期间收益分配原则及方式进行调整，并在调整前至少3个工作日进行披露。</w:t>
            </w:r>
          </w:p>
          <w:p w14:paraId="2ACAFCBD">
            <w:pPr>
              <w:spacing w:line="240" w:lineRule="auto"/>
              <w:rPr>
                <w:sz w:val="28"/>
                <w:szCs w:val="28"/>
              </w:rPr>
            </w:pPr>
            <w:r>
              <w:rPr>
                <w:rFonts w:ascii="方正黑体_GBK" w:hAnsi="方正黑体_GBK" w:eastAsia="方正黑体_GBK" w:cs="宋体"/>
                <w:sz w:val="22"/>
                <w:szCs w:val="22"/>
              </w:rPr>
              <w:t>3.法律法规或监管机构另有规定的，从其规定。</w:t>
            </w:r>
          </w:p>
          <w:p w14:paraId="228C5641">
            <w:pPr>
              <w:spacing w:line="240" w:lineRule="auto"/>
              <w:rPr>
                <w:sz w:val="28"/>
                <w:szCs w:val="28"/>
              </w:rPr>
            </w:pPr>
            <w:r>
              <w:rPr>
                <w:rFonts w:ascii="方正黑体_GBK" w:hAnsi="方正黑体_GBK" w:eastAsia="方正黑体_GBK" w:cs="宋体"/>
                <w:sz w:val="22"/>
                <w:szCs w:val="22"/>
              </w:rPr>
              <w:t>（三）收益分配方案的确定与披露</w:t>
            </w:r>
          </w:p>
          <w:p w14:paraId="46980B65">
            <w:pPr>
              <w:spacing w:line="240" w:lineRule="auto"/>
              <w:rPr>
                <w:sz w:val="28"/>
                <w:szCs w:val="28"/>
              </w:rPr>
            </w:pPr>
            <w:r>
              <w:rPr>
                <w:rFonts w:ascii="方正黑体_GBK" w:hAnsi="方正黑体_GBK" w:eastAsia="方正黑体_GBK" w:cs="宋体"/>
                <w:sz w:val="22"/>
                <w:szCs w:val="22"/>
              </w:rPr>
              <w:t>1.期间分配</w:t>
            </w:r>
          </w:p>
          <w:p w14:paraId="6EE5CBCB">
            <w:pPr>
              <w:spacing w:line="240" w:lineRule="auto"/>
              <w:rPr>
                <w:sz w:val="28"/>
                <w:szCs w:val="28"/>
              </w:rPr>
            </w:pPr>
            <w:r>
              <w:rPr>
                <w:rFonts w:ascii="方正黑体_GBK" w:hAnsi="方正黑体_GBK" w:eastAsia="方正黑体_GBK" w:cs="宋体"/>
                <w:sz w:val="22"/>
                <w:szCs w:val="22"/>
              </w:rPr>
              <w:t>本理财产品存续期间不进行收益分配。</w:t>
            </w:r>
          </w:p>
          <w:p w14:paraId="7509B0B4">
            <w:pPr>
              <w:spacing w:line="240" w:lineRule="auto"/>
              <w:rPr>
                <w:sz w:val="28"/>
                <w:szCs w:val="28"/>
              </w:rPr>
            </w:pPr>
            <w:r>
              <w:rPr>
                <w:rFonts w:ascii="方正黑体_GBK" w:hAnsi="方正黑体_GBK" w:eastAsia="方正黑体_GBK" w:cs="宋体"/>
                <w:sz w:val="22"/>
                <w:szCs w:val="22"/>
              </w:rPr>
              <w:t>2.终止分配</w:t>
            </w:r>
          </w:p>
          <w:p w14:paraId="51A853BE">
            <w:pPr>
              <w:spacing w:line="240" w:lineRule="auto"/>
              <w:rPr>
                <w:sz w:val="28"/>
                <w:szCs w:val="28"/>
              </w:rPr>
            </w:pPr>
            <w:r>
              <w:rPr>
                <w:rFonts w:ascii="方正黑体_GBK" w:hAnsi="方正黑体_GBK" w:eastAsia="方正黑体_GBK" w:cs="宋体"/>
                <w:sz w:val="22"/>
                <w:szCs w:val="22"/>
              </w:rPr>
              <w:t>本理财产品到期或提前终止，管理人按照投资者持有理财产品份额分配清算款项。兑付资金于到期或提前终止日后5个工作日内划入投资者授权指定账户。兑付金额按照去尾法保留两位小数。投资者通过代销机构渠道购买理财产品的，理财资金划转至投资者账户的时间以代销机构的清算时间为准。</w:t>
            </w:r>
          </w:p>
        </w:tc>
      </w:tr>
      <w:tr w14:paraId="56DD1F03">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9FF7E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32A63123">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079AAE1F">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AC7C7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0A900582">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669EEE7E">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5CD41EBA">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47760DD3">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247F482F">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5BE4B384">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0D700BB1">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3C961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62AB025C">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3A99BB53">
            <w:pPr>
              <w:spacing w:line="240" w:lineRule="auto"/>
              <w:rPr>
                <w:sz w:val="28"/>
                <w:szCs w:val="28"/>
              </w:rPr>
            </w:pPr>
            <w:r>
              <w:rPr>
                <w:rFonts w:ascii="方正黑体_GBK" w:hAnsi="方正黑体_GBK" w:eastAsia="方正黑体_GBK" w:cs="宋体"/>
                <w:b/>
                <w:color w:val="000000"/>
                <w:sz w:val="22"/>
                <w:szCs w:val="22"/>
                <w:shd w:val="clear" w:fill="FAFAFA"/>
              </w:rPr>
              <w:t>注：非因管理人主观因素导致突破上述比例限制的，管理人将在流动性受限资产可出售、可转让或者恢复交易的15个交易日内将投资比例调整至符合说明书约定的范围。</w:t>
            </w:r>
          </w:p>
        </w:tc>
      </w:tr>
      <w:tr w14:paraId="1CAD713E">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CF23A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622A262E">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46AD5B3B">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7AB4DEE">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36DDF0AE">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577E430E">
            <w:pPr>
              <w:spacing w:line="240" w:lineRule="auto"/>
              <w:rPr>
                <w:sz w:val="28"/>
                <w:szCs w:val="28"/>
              </w:rPr>
            </w:pPr>
            <w:r>
              <w:rPr>
                <w:rFonts w:ascii="方正黑体_GBK" w:hAnsi="方正黑体_GBK" w:eastAsia="方正黑体_GBK" w:cs="宋体"/>
                <w:sz w:val="22"/>
                <w:szCs w:val="22"/>
              </w:rPr>
              <w:t>1.   同业借款：资产类型为南银理财有限责任公司向持牌金融机构发放的同业借款，资产到期日不超过理财产品到期日，融资人为中国中信金融资产管理股份有限公司。</w:t>
            </w:r>
          </w:p>
          <w:p w14:paraId="50909680">
            <w:pPr>
              <w:spacing w:line="240" w:lineRule="auto"/>
              <w:rPr>
                <w:sz w:val="28"/>
                <w:szCs w:val="28"/>
              </w:rPr>
            </w:pPr>
            <w:r>
              <w:rPr>
                <w:rFonts w:ascii="方正黑体_GBK" w:hAnsi="方正黑体_GBK" w:eastAsia="方正黑体_GBK" w:cs="宋体"/>
                <w:sz w:val="22"/>
                <w:szCs w:val="22"/>
              </w:rPr>
              <w:t>2.   同业借款：资产类型为南银理财有限责任公司向持牌金融机构发放的同业借款，资产到期日不超过理财产品到期日，融资人为中国东方资产管理股份有限公司。</w:t>
            </w:r>
          </w:p>
          <w:p w14:paraId="44741CA0">
            <w:pPr>
              <w:spacing w:line="240" w:lineRule="auto"/>
              <w:rPr>
                <w:sz w:val="28"/>
                <w:szCs w:val="28"/>
              </w:rPr>
            </w:pPr>
            <w:r>
              <w:rPr>
                <w:rFonts w:ascii="方正黑体_GBK" w:hAnsi="方正黑体_GBK" w:eastAsia="方正黑体_GBK" w:cs="宋体"/>
                <w:sz w:val="22"/>
                <w:szCs w:val="22"/>
              </w:rPr>
              <w:t>3.   同业借款：资产类型为南银理财有限责任公司向持牌金融机构发放的同业借款，资产到期日不超过理财产品到期日，融资人为中国信达资产管理股份有限公司。</w:t>
            </w:r>
          </w:p>
          <w:p w14:paraId="52146FE9">
            <w:pPr>
              <w:spacing w:line="240" w:lineRule="auto"/>
              <w:rPr>
                <w:sz w:val="28"/>
                <w:szCs w:val="28"/>
              </w:rPr>
            </w:pPr>
            <w:r>
              <w:rPr>
                <w:rFonts w:ascii="方正黑体_GBK" w:hAnsi="方正黑体_GBK" w:eastAsia="方正黑体_GBK" w:cs="宋体"/>
                <w:sz w:val="22"/>
                <w:szCs w:val="22"/>
              </w:rPr>
              <w:t>4.   同业借款：资产类型为南银理财有限责任公司向持牌金融机构发放的同业借款，资产到期日不超过理财产品到期日，融资人为中国长城资产管理股份有限公司。</w:t>
            </w:r>
          </w:p>
          <w:p w14:paraId="3F0E4B8F">
            <w:pPr>
              <w:spacing w:line="240" w:lineRule="auto"/>
              <w:rPr>
                <w:sz w:val="28"/>
                <w:szCs w:val="28"/>
              </w:rPr>
            </w:pPr>
            <w:r>
              <w:rPr>
                <w:rFonts w:ascii="方正黑体_GBK" w:hAnsi="方正黑体_GBK" w:eastAsia="方正黑体_GBK" w:cs="宋体"/>
                <w:sz w:val="22"/>
                <w:szCs w:val="22"/>
              </w:rPr>
              <w:t>5.   券商收益凭证：资产类型为证券公司发行的收益凭证，资产到期日不超过理财产品到期日，融资人为华宝证券股份有限公司，融资人评级为AA+（评级机构为联合资信评估股份有限公司）。</w:t>
            </w:r>
          </w:p>
          <w:p w14:paraId="14AFF838">
            <w:pPr>
              <w:spacing w:line="240" w:lineRule="auto"/>
              <w:rPr>
                <w:sz w:val="28"/>
                <w:szCs w:val="28"/>
              </w:rPr>
            </w:pPr>
            <w:r>
              <w:rPr>
                <w:rFonts w:ascii="方正黑体_GBK" w:hAnsi="方正黑体_GBK" w:eastAsia="方正黑体_GBK" w:cs="宋体"/>
                <w:sz w:val="22"/>
                <w:szCs w:val="22"/>
              </w:rPr>
              <w:t>6.   券商收益凭证：资产类型为证券公司发行的收益凭证，资产到期日不超过理财产品到期日，融资人为上海证券有限责任公司，融资人评级为AAA（评级机构为上海新世纪资信评估投资服务有限公司）。</w:t>
            </w:r>
          </w:p>
          <w:p w14:paraId="66317BB3">
            <w:pPr>
              <w:spacing w:line="240" w:lineRule="auto"/>
              <w:rPr>
                <w:sz w:val="28"/>
                <w:szCs w:val="28"/>
              </w:rPr>
            </w:pPr>
            <w:r>
              <w:rPr>
                <w:rFonts w:ascii="方正黑体_GBK" w:hAnsi="方正黑体_GBK" w:eastAsia="方正黑体_GBK" w:cs="宋体"/>
                <w:sz w:val="22"/>
                <w:szCs w:val="22"/>
              </w:rPr>
              <w:t>7.   券商收益凭证：资产类型为证券公司发行的收益凭证，资产到期日不超过理财产品到期日，融资人为山西证券股份有限公司，融资人评级为AAA（评级机构为中诚信国际信用评级有限责任公司）。</w:t>
            </w:r>
          </w:p>
          <w:p w14:paraId="71820730">
            <w:pPr>
              <w:spacing w:line="240" w:lineRule="auto"/>
              <w:rPr>
                <w:sz w:val="28"/>
                <w:szCs w:val="28"/>
              </w:rPr>
            </w:pPr>
            <w:r>
              <w:rPr>
                <w:rFonts w:ascii="方正黑体_GBK" w:hAnsi="方正黑体_GBK" w:eastAsia="方正黑体_GBK" w:cs="宋体"/>
                <w:sz w:val="22"/>
                <w:szCs w:val="22"/>
              </w:rPr>
              <w:t>8.   券商收益凭证：资产类型为证券公司发行的收益凭证，资产到期日不超过理财产品到期日，融资人为中银国际证券股份有限公司，融资人评级为AAA（评级机构为中诚信国际信用评级有限责任公司）。</w:t>
            </w:r>
          </w:p>
          <w:p w14:paraId="105ABD06">
            <w:pPr>
              <w:spacing w:line="240" w:lineRule="auto"/>
              <w:rPr>
                <w:sz w:val="28"/>
                <w:szCs w:val="28"/>
              </w:rPr>
            </w:pPr>
            <w:r>
              <w:rPr>
                <w:rFonts w:ascii="方正黑体_GBK" w:hAnsi="方正黑体_GBK" w:eastAsia="方正黑体_GBK" w:cs="宋体"/>
                <w:sz w:val="22"/>
                <w:szCs w:val="22"/>
              </w:rPr>
              <w:t>9.   券商收益凭证：资产类型为证券公司发行的收益凭证，资产到期日不超过理财产品到期日，融资人为首创证券股份有限公司，融资人评级为AAA（评级机构为中诚信国际信用评级有限责任公司）。</w:t>
            </w:r>
          </w:p>
          <w:p w14:paraId="32F7C220">
            <w:pPr>
              <w:spacing w:line="240" w:lineRule="auto"/>
              <w:rPr>
                <w:sz w:val="28"/>
                <w:szCs w:val="28"/>
              </w:rPr>
            </w:pPr>
            <w:r>
              <w:rPr>
                <w:rFonts w:ascii="方正黑体_GBK" w:hAnsi="方正黑体_GBK" w:eastAsia="方正黑体_GBK" w:cs="宋体"/>
                <w:sz w:val="22"/>
                <w:szCs w:val="22"/>
              </w:rPr>
              <w:t>10.  券商收益凭证：资产类型为证券公司发行的收益凭证，资产到期日不超过理财产品到期日，融资人为国泰海通证券股份有限公司，融资人评级为AAA（评级机构为上海新世纪资信评估投资服务有限公司）。</w:t>
            </w:r>
          </w:p>
          <w:p w14:paraId="408FB998">
            <w:pPr>
              <w:spacing w:line="240" w:lineRule="auto"/>
              <w:rPr>
                <w:sz w:val="28"/>
                <w:szCs w:val="28"/>
              </w:rPr>
            </w:pPr>
            <w:r>
              <w:rPr>
                <w:rFonts w:ascii="方正黑体_GBK" w:hAnsi="方正黑体_GBK" w:eastAsia="方正黑体_GBK" w:cs="宋体"/>
                <w:sz w:val="22"/>
                <w:szCs w:val="22"/>
              </w:rPr>
              <w:t>11.  券商收益凭证：资产类型为证券公司发行的收益凭证，资产到期日不超过理财产品到期日，融资人为中信证券股份有限公司，融资人评级为AAA（评级机构为中诚信国际信用评级有限责任公司）。</w:t>
            </w:r>
          </w:p>
          <w:p w14:paraId="15A17297">
            <w:pPr>
              <w:spacing w:line="240" w:lineRule="auto"/>
              <w:rPr>
                <w:sz w:val="28"/>
                <w:szCs w:val="28"/>
              </w:rPr>
            </w:pPr>
            <w:r>
              <w:rPr>
                <w:rFonts w:ascii="方正黑体_GBK" w:hAnsi="方正黑体_GBK" w:eastAsia="方正黑体_GBK" w:cs="宋体"/>
                <w:sz w:val="22"/>
                <w:szCs w:val="22"/>
              </w:rPr>
              <w:t>12.  券商收益凭证：资产类型为证券公司发行的收益凭证，资产到期日不超过理财产品到期日，融资人为华泰证券股份有限公司，融资人评级为AAA（评级机构为上海新世纪资信评估投资服务有限公司）。</w:t>
            </w:r>
          </w:p>
          <w:p w14:paraId="545F6981">
            <w:pPr>
              <w:spacing w:line="240" w:lineRule="auto"/>
              <w:rPr>
                <w:sz w:val="28"/>
                <w:szCs w:val="28"/>
              </w:rPr>
            </w:pPr>
            <w:r>
              <w:rPr>
                <w:rFonts w:ascii="方正黑体_GBK" w:hAnsi="方正黑体_GBK" w:eastAsia="方正黑体_GBK" w:cs="宋体"/>
                <w:sz w:val="22"/>
                <w:szCs w:val="22"/>
              </w:rPr>
              <w:t>13.  券商收益凭证：资产类型为证券公司发行的收益凭证，资产到期日不超过理财产品到期日，融资人为中信建投证券股份有限公司，融资人评级为AAA（评级机构为中诚信国际信用评级有限责任公司）。</w:t>
            </w:r>
          </w:p>
          <w:p w14:paraId="1E99F3CE">
            <w:pPr>
              <w:spacing w:line="240" w:lineRule="auto"/>
              <w:rPr>
                <w:sz w:val="28"/>
                <w:szCs w:val="28"/>
              </w:rPr>
            </w:pPr>
            <w:r>
              <w:rPr>
                <w:rFonts w:ascii="方正黑体_GBK" w:hAnsi="方正黑体_GBK" w:eastAsia="方正黑体_GBK" w:cs="宋体"/>
                <w:sz w:val="22"/>
                <w:szCs w:val="22"/>
              </w:rPr>
              <w:t>14.  券商收益凭证：资产类型为证券公司发行的收益凭证，资产到期日不超过理财产品到期日，融资人为中国银河证券股份有限公司，融资人评级为AAA（评级机构为联合资信评估股份有限公司）。</w:t>
            </w:r>
          </w:p>
          <w:p w14:paraId="4638BF34">
            <w:pPr>
              <w:spacing w:line="240" w:lineRule="auto"/>
              <w:rPr>
                <w:sz w:val="28"/>
                <w:szCs w:val="28"/>
              </w:rPr>
            </w:pPr>
            <w:r>
              <w:rPr>
                <w:rFonts w:ascii="方正黑体_GBK" w:hAnsi="方正黑体_GBK" w:eastAsia="方正黑体_GBK" w:cs="宋体"/>
                <w:sz w:val="22"/>
                <w:szCs w:val="22"/>
              </w:rPr>
              <w:t>15.  券商收益凭证：资产类型为证券公司发行的收益凭证，资产到期日不超过理财产品到期日，融资人为申万宏源证券有限公司，融资人评级为AAA（评级机构为联合资信评估股份有限公司）。</w:t>
            </w:r>
          </w:p>
          <w:p w14:paraId="4A8278D4">
            <w:pPr>
              <w:spacing w:line="240" w:lineRule="auto"/>
              <w:rPr>
                <w:sz w:val="28"/>
                <w:szCs w:val="28"/>
              </w:rPr>
            </w:pPr>
            <w:r>
              <w:rPr>
                <w:rFonts w:ascii="方正黑体_GBK" w:hAnsi="方正黑体_GBK" w:eastAsia="方正黑体_GBK" w:cs="宋体"/>
                <w:sz w:val="22"/>
                <w:szCs w:val="22"/>
              </w:rPr>
              <w:t>16.  券商收益凭证：资产类型为证券公司发行的收益凭证，资产到期日不超过理财产品到期日，融资人为中国国际金融股份有限公司，融资人评级为AAA（评级机构为中诚信国际信用评级有限责任公司）。</w:t>
            </w:r>
          </w:p>
          <w:p w14:paraId="5970F2BB">
            <w:pPr>
              <w:spacing w:line="240" w:lineRule="auto"/>
              <w:rPr>
                <w:sz w:val="28"/>
                <w:szCs w:val="28"/>
              </w:rPr>
            </w:pPr>
            <w:r>
              <w:rPr>
                <w:rFonts w:ascii="方正黑体_GBK" w:hAnsi="方正黑体_GBK" w:eastAsia="方正黑体_GBK" w:cs="宋体"/>
                <w:sz w:val="22"/>
                <w:szCs w:val="22"/>
              </w:rPr>
              <w:t>17.  券商收益凭证：资产类型为证券公司发行的收益凭证，资产到期日不超过理财产品到期日，融资人为招商证券股份有限公司，融资人评级为AAA（评级机构为联合资信评估股份有限公司）。</w:t>
            </w:r>
          </w:p>
          <w:p w14:paraId="60DD4E08">
            <w:pPr>
              <w:spacing w:line="240" w:lineRule="auto"/>
              <w:rPr>
                <w:sz w:val="28"/>
                <w:szCs w:val="28"/>
              </w:rPr>
            </w:pPr>
            <w:r>
              <w:rPr>
                <w:rFonts w:ascii="方正黑体_GBK" w:hAnsi="方正黑体_GBK" w:eastAsia="方正黑体_GBK" w:cs="宋体"/>
                <w:sz w:val="22"/>
                <w:szCs w:val="22"/>
              </w:rPr>
              <w:t>18.  券商收益凭证：资产类型为证券公司发行的收益凭证，资产到期日不超过理财产品到期日，融资人为平安证券股份有限公司，融资人评级为AAA（评级机构为中诚信国际信用评级有限责任公司）。</w:t>
            </w:r>
          </w:p>
          <w:p w14:paraId="5CF42692">
            <w:pPr>
              <w:spacing w:line="240" w:lineRule="auto"/>
              <w:rPr>
                <w:sz w:val="28"/>
                <w:szCs w:val="28"/>
              </w:rPr>
            </w:pPr>
            <w:r>
              <w:rPr>
                <w:rFonts w:ascii="方正黑体_GBK" w:hAnsi="方正黑体_GBK" w:eastAsia="方正黑体_GBK" w:cs="宋体"/>
                <w:sz w:val="22"/>
                <w:szCs w:val="22"/>
              </w:rPr>
              <w:t>19.  券商收益凭证：资产类型为证券公司发行的收益凭证，资产到期日不超过理财产品到期日，融资人为广发证券股份有限公司，融资人评级为AAA（评级机构为中诚信国际信用评级有限责任公司）。</w:t>
            </w:r>
          </w:p>
          <w:p w14:paraId="61107188">
            <w:pPr>
              <w:spacing w:line="240" w:lineRule="auto"/>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券商收益凭证：资产类型为证券公司发行的收益凭证，资产到期日不超过理财产品到期日，融资人为国信证券股份有限公司，融资人评级为AAA（评级机构为中诚信国际信用评级有限责任公司）。</w:t>
            </w:r>
          </w:p>
          <w:p w14:paraId="6DD4ABE4">
            <w:pPr>
              <w:spacing w:line="240" w:lineRule="auto"/>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券商收益凭证：资产类型为证券公司发行的收益凭证，资产到期日不超过理财产品到期日，融资人为兴业证券股份有限公司，融资人评级为AAA（评级机构为联合资信评估股份有限公司）。</w:t>
            </w:r>
          </w:p>
          <w:p w14:paraId="7BF735E3">
            <w:pPr>
              <w:spacing w:line="240" w:lineRule="auto"/>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券商收益凭证：资产类型为证券公司发行的收益凭证，资产到期日不超过理财产品到期日，融资人为光大证券股份有限公司，融资人评级为AAA（评级机构为联合资信评估股份有限公司）。</w:t>
            </w:r>
          </w:p>
          <w:p w14:paraId="52AA8A8D">
            <w:pPr>
              <w:spacing w:line="240" w:lineRule="auto"/>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券商收益凭证：资产类型为证券公司发行的收益凭证，资产到期日不超过理财产品到期日，融资人为华鑫证券有限责任公司，融资人评级为AA+（评级机构为上海新世纪资信评估投资服务有限公司）。</w:t>
            </w:r>
          </w:p>
          <w:p w14:paraId="4E117859">
            <w:pPr>
              <w:spacing w:line="240" w:lineRule="auto"/>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券商收益凭证：资产类型为证券公司发行的收益凭证，资产到期日不超过理财产品到期日，融资人为财通证券股份有限公司，融资人评级为AAA（评级机构为中诚信国际信用评级有限责任公司）。</w:t>
            </w:r>
          </w:p>
          <w:p w14:paraId="6D26B77A">
            <w:pPr>
              <w:spacing w:line="240" w:lineRule="auto"/>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券商收益凭证：资产类型为证券公司发行的收益凭证，资产到期日不超过理财产品到期日，融资人为长江证券股份有限公司，融资人评级为AAA（评级机构为联合资信评估股份有限公司）。</w:t>
            </w:r>
          </w:p>
          <w:p w14:paraId="1FBCE08D">
            <w:pPr>
              <w:spacing w:line="240" w:lineRule="auto"/>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券商收益凭证：资产类型为证券公司发行的收益凭证，资产到期日不超过理财产品到期日，融资人为国金证券股份有限公司，融资人评级为AAA（评级机构为上海新世纪资信评估投资服务有限公司）。</w:t>
            </w:r>
          </w:p>
          <w:p w14:paraId="6238E1D0">
            <w:pPr>
              <w:spacing w:line="240" w:lineRule="auto"/>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券商收益凭证：资产类型为证券公司发行的收益凭证，资产到期日不超过理财产品到期日，融资人为东方证券股份有限公司，融资人评级为AAA（评级机构为中诚信国际信用评级有限责任公司）。</w:t>
            </w:r>
          </w:p>
          <w:p w14:paraId="373288F8">
            <w:pPr>
              <w:spacing w:line="240" w:lineRule="auto"/>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券商收益凭证：资产类型为证券公司发行的收益凭证，资产到期日不超过理财产品到期日，融资人为国投证券股份有限公司，融资人评级为AAA（评级机构为联合资信评估股份有限公司）。</w:t>
            </w:r>
          </w:p>
          <w:p w14:paraId="624F7317">
            <w:pPr>
              <w:spacing w:line="240" w:lineRule="auto"/>
              <w:rPr>
                <w:sz w:val="28"/>
                <w:szCs w:val="28"/>
              </w:rPr>
            </w:pPr>
            <w:r>
              <w:rPr>
                <w:rFonts w:ascii="方正黑体_GBK" w:hAnsi="方正黑体_GBK" w:eastAsia="方正黑体_GBK" w:cs="宋体"/>
                <w:b/>
                <w:sz w:val="22"/>
                <w:szCs w:val="22"/>
              </w:rPr>
              <w:t>以上资产剩余期限均不超过产品期限。</w:t>
            </w:r>
          </w:p>
          <w:p w14:paraId="707363E9">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3C3B5E61">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4D19F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30C7EE2B">
            <w:pPr>
              <w:spacing w:line="240" w:lineRule="auto"/>
              <w:rPr>
                <w:sz w:val="28"/>
                <w:szCs w:val="28"/>
              </w:rPr>
            </w:pPr>
            <w:r>
              <w:rPr>
                <w:rFonts w:ascii="方正黑体_GBK" w:hAnsi="方正黑体_GBK" w:eastAsia="方正黑体_GBK" w:cs="宋体"/>
                <w:sz w:val="22"/>
                <w:szCs w:val="22"/>
              </w:rPr>
              <w:t>A份额：业绩比较基准为1.68%(年化)。</w:t>
            </w:r>
          </w:p>
          <w:p w14:paraId="67CFDABC">
            <w:pPr>
              <w:spacing w:line="240" w:lineRule="auto"/>
              <w:rPr>
                <w:sz w:val="28"/>
                <w:szCs w:val="28"/>
              </w:rPr>
            </w:pPr>
            <w:r>
              <w:rPr>
                <w:rFonts w:ascii="方正黑体_GBK" w:hAnsi="方正黑体_GBK" w:eastAsia="方正黑体_GBK" w:cs="宋体"/>
                <w:sz w:val="22"/>
                <w:szCs w:val="22"/>
              </w:rPr>
              <w:t>B份额：业绩比较基准为1.78%(年化)。</w:t>
            </w:r>
          </w:p>
          <w:p w14:paraId="5805E68A">
            <w:pPr>
              <w:spacing w:line="240" w:lineRule="auto"/>
              <w:rPr>
                <w:sz w:val="28"/>
                <w:szCs w:val="28"/>
              </w:rPr>
            </w:pPr>
            <w:r>
              <w:rPr>
                <w:rFonts w:ascii="方正黑体_GBK" w:hAnsi="方正黑体_GBK" w:eastAsia="方正黑体_GBK" w:cs="宋体"/>
                <w:sz w:val="22"/>
                <w:szCs w:val="22"/>
              </w:rPr>
              <w:t>C份额：业绩比较基准为1.88%(年化)。</w:t>
            </w:r>
          </w:p>
          <w:p w14:paraId="33E1427D">
            <w:pPr>
              <w:spacing w:line="240" w:lineRule="auto"/>
              <w:rPr>
                <w:sz w:val="28"/>
                <w:szCs w:val="28"/>
              </w:rPr>
            </w:pPr>
            <w:r>
              <w:rPr>
                <w:rFonts w:ascii="方正黑体_GBK" w:hAnsi="方正黑体_GBK" w:eastAsia="方正黑体_GBK" w:cs="宋体"/>
                <w:sz w:val="22"/>
                <w:szCs w:val="22"/>
              </w:rPr>
              <w:t>E份额：业绩比较基准为1.83%(年化)。</w:t>
            </w:r>
          </w:p>
          <w:p w14:paraId="629957DD">
            <w:pPr>
              <w:spacing w:line="240" w:lineRule="auto"/>
              <w:rPr>
                <w:sz w:val="28"/>
                <w:szCs w:val="28"/>
              </w:rPr>
            </w:pPr>
            <w:r>
              <w:rPr>
                <w:rFonts w:ascii="方正黑体_GBK" w:hAnsi="方正黑体_GBK" w:eastAsia="方正黑体_GBK" w:cs="宋体"/>
                <w:sz w:val="22"/>
                <w:szCs w:val="22"/>
              </w:rPr>
              <w:t>K份额：业绩比较基准为1.93%(年化)。</w:t>
            </w:r>
          </w:p>
          <w:p w14:paraId="474CA426">
            <w:pPr>
              <w:spacing w:line="240" w:lineRule="auto"/>
              <w:rPr>
                <w:sz w:val="28"/>
                <w:szCs w:val="28"/>
              </w:rPr>
            </w:pPr>
            <w:r>
              <w:rPr>
                <w:rFonts w:ascii="方正黑体_GBK" w:hAnsi="方正黑体_GBK" w:eastAsia="方正黑体_GBK" w:cs="宋体"/>
                <w:sz w:val="22"/>
                <w:szCs w:val="22"/>
              </w:rPr>
              <w:t>L份额：业绩比较基准为1.93%(年化)。</w:t>
            </w:r>
          </w:p>
          <w:p w14:paraId="0CCC8680">
            <w:pPr>
              <w:spacing w:line="240" w:lineRule="auto"/>
              <w:rPr>
                <w:sz w:val="28"/>
                <w:szCs w:val="28"/>
              </w:rPr>
            </w:pPr>
            <w:r>
              <w:rPr>
                <w:rFonts w:ascii="方正黑体_GBK" w:hAnsi="方正黑体_GBK" w:eastAsia="方正黑体_GBK" w:cs="宋体"/>
                <w:sz w:val="22"/>
                <w:szCs w:val="22"/>
              </w:rPr>
              <w:t>N份额：业绩比较基准为1.68%(年化)。</w:t>
            </w:r>
          </w:p>
          <w:p w14:paraId="5E06E355">
            <w:pPr>
              <w:spacing w:line="240" w:lineRule="auto"/>
              <w:rPr>
                <w:sz w:val="28"/>
                <w:szCs w:val="28"/>
              </w:rPr>
            </w:pPr>
            <w:r>
              <w:rPr>
                <w:rFonts w:ascii="方正黑体_GBK" w:hAnsi="方正黑体_GBK" w:eastAsia="方正黑体_GBK" w:cs="宋体"/>
                <w:sz w:val="22"/>
                <w:szCs w:val="22"/>
              </w:rPr>
              <w:t>O份额：业绩比较基准为1.88%(年化)。</w:t>
            </w:r>
          </w:p>
          <w:p w14:paraId="30FADAB0">
            <w:pPr>
              <w:spacing w:line="240" w:lineRule="auto"/>
              <w:rPr>
                <w:sz w:val="28"/>
                <w:szCs w:val="28"/>
              </w:rPr>
            </w:pPr>
            <w:r>
              <w:rPr>
                <w:rFonts w:ascii="方正黑体_GBK" w:hAnsi="方正黑体_GBK" w:eastAsia="方正黑体_GBK" w:cs="宋体"/>
                <w:sz w:val="22"/>
                <w:szCs w:val="22"/>
              </w:rPr>
              <w:t>B2份额：业绩比较基准为1.83%(年化)。</w:t>
            </w:r>
          </w:p>
          <w:p w14:paraId="476998E5">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198C91D8">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15AB8EBA">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00885C01">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1D0A5E4">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7CF5E4E6">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7642379B">
            <w:pPr>
              <w:spacing w:line="240" w:lineRule="auto"/>
              <w:rPr>
                <w:sz w:val="28"/>
                <w:szCs w:val="28"/>
              </w:rPr>
            </w:pPr>
            <w:r>
              <w:rPr>
                <w:rFonts w:ascii="方正黑体_GBK" w:hAnsi="方正黑体_GBK" w:eastAsia="方正黑体_GBK" w:cs="宋体"/>
                <w:b/>
                <w:sz w:val="22"/>
                <w:szCs w:val="22"/>
              </w:rPr>
              <w:t>赎回费：本理财产品暂不收取赎回费。</w:t>
            </w:r>
          </w:p>
          <w:p w14:paraId="7CF98914">
            <w:pPr>
              <w:spacing w:line="240" w:lineRule="auto"/>
              <w:rPr>
                <w:sz w:val="28"/>
                <w:szCs w:val="28"/>
              </w:rPr>
            </w:pPr>
            <w:r>
              <w:rPr>
                <w:rFonts w:ascii="方正黑体_GBK" w:hAnsi="方正黑体_GBK" w:eastAsia="方正黑体_GBK" w:cs="宋体"/>
                <w:b/>
                <w:sz w:val="22"/>
                <w:szCs w:val="22"/>
              </w:rPr>
              <w:t>销售费：</w:t>
            </w:r>
          </w:p>
          <w:p w14:paraId="5D4D6212">
            <w:pPr>
              <w:spacing w:line="240" w:lineRule="auto"/>
              <w:rPr>
                <w:sz w:val="28"/>
                <w:szCs w:val="28"/>
              </w:rPr>
            </w:pPr>
            <w:r>
              <w:rPr>
                <w:rFonts w:ascii="方正黑体_GBK" w:hAnsi="方正黑体_GBK" w:eastAsia="方正黑体_GBK" w:cs="宋体"/>
                <w:b/>
                <w:sz w:val="22"/>
                <w:szCs w:val="22"/>
              </w:rPr>
              <w:t>A份额：</w:t>
            </w:r>
          </w:p>
          <w:p w14:paraId="4951C49E">
            <w:pPr>
              <w:spacing w:line="240" w:lineRule="auto"/>
              <w:rPr>
                <w:sz w:val="28"/>
                <w:szCs w:val="28"/>
              </w:rPr>
            </w:pPr>
            <w:r>
              <w:rPr>
                <w:rFonts w:ascii="方正黑体_GBK" w:hAnsi="方正黑体_GBK" w:eastAsia="方正黑体_GBK" w:cs="宋体"/>
                <w:b/>
                <w:sz w:val="22"/>
                <w:szCs w:val="22"/>
              </w:rPr>
              <w:t>本理财产品按前一日理财产品资产净值收取年化0.2%的销售费，按日计提。</w:t>
            </w:r>
          </w:p>
          <w:p w14:paraId="6A71CF89">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21CB220B">
            <w:pPr>
              <w:spacing w:line="240" w:lineRule="auto"/>
              <w:rPr>
                <w:sz w:val="28"/>
                <w:szCs w:val="28"/>
              </w:rPr>
            </w:pPr>
            <w:r>
              <w:rPr>
                <w:rFonts w:ascii="方正黑体_GBK" w:hAnsi="方正黑体_GBK" w:eastAsia="方正黑体_GBK" w:cs="宋体"/>
                <w:b/>
                <w:sz w:val="22"/>
                <w:szCs w:val="22"/>
              </w:rPr>
              <w:t>B份额，B2份额：</w:t>
            </w:r>
          </w:p>
          <w:p w14:paraId="164227E8">
            <w:pPr>
              <w:spacing w:line="240" w:lineRule="auto"/>
              <w:rPr>
                <w:sz w:val="28"/>
                <w:szCs w:val="28"/>
              </w:rPr>
            </w:pPr>
            <w:r>
              <w:rPr>
                <w:rFonts w:ascii="方正黑体_GBK" w:hAnsi="方正黑体_GBK" w:eastAsia="方正黑体_GBK" w:cs="宋体"/>
                <w:b/>
                <w:sz w:val="22"/>
                <w:szCs w:val="22"/>
              </w:rPr>
              <w:t>本理财产品按前一日理财产品资产净值收取年化0.15%的销售费，按日计提。</w:t>
            </w:r>
          </w:p>
          <w:p w14:paraId="686A7D58">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60711C54">
            <w:pPr>
              <w:spacing w:line="240" w:lineRule="auto"/>
              <w:rPr>
                <w:sz w:val="28"/>
                <w:szCs w:val="28"/>
              </w:rPr>
            </w:pPr>
            <w:r>
              <w:rPr>
                <w:rFonts w:ascii="方正黑体_GBK" w:hAnsi="方正黑体_GBK" w:eastAsia="方正黑体_GBK" w:cs="宋体"/>
                <w:b/>
                <w:sz w:val="22"/>
                <w:szCs w:val="22"/>
              </w:rPr>
              <w:t>C份额，K份额，L份额：</w:t>
            </w:r>
          </w:p>
          <w:p w14:paraId="3BDBECF7">
            <w:pPr>
              <w:spacing w:line="240" w:lineRule="auto"/>
              <w:rPr>
                <w:sz w:val="28"/>
                <w:szCs w:val="28"/>
              </w:rPr>
            </w:pPr>
            <w:r>
              <w:rPr>
                <w:rFonts w:ascii="方正黑体_GBK" w:hAnsi="方正黑体_GBK" w:eastAsia="方正黑体_GBK" w:cs="宋体"/>
                <w:b/>
                <w:sz w:val="22"/>
                <w:szCs w:val="22"/>
              </w:rPr>
              <w:t>本理财产品按前一日理财产品资产净值收取年化0.05%的销售费，按日计提。</w:t>
            </w:r>
          </w:p>
          <w:p w14:paraId="0486D465">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073C9349">
            <w:pPr>
              <w:spacing w:line="240" w:lineRule="auto"/>
              <w:rPr>
                <w:sz w:val="28"/>
                <w:szCs w:val="28"/>
              </w:rPr>
            </w:pPr>
            <w:r>
              <w:rPr>
                <w:rFonts w:ascii="方正黑体_GBK" w:hAnsi="方正黑体_GBK" w:eastAsia="方正黑体_GBK" w:cs="宋体"/>
                <w:b/>
                <w:sz w:val="22"/>
                <w:szCs w:val="22"/>
              </w:rPr>
              <w:t>E份额：</w:t>
            </w:r>
          </w:p>
          <w:p w14:paraId="05ADB4E6">
            <w:pPr>
              <w:spacing w:line="240" w:lineRule="auto"/>
              <w:rPr>
                <w:sz w:val="28"/>
                <w:szCs w:val="28"/>
              </w:rPr>
            </w:pPr>
            <w:r>
              <w:rPr>
                <w:rFonts w:ascii="方正黑体_GBK" w:hAnsi="方正黑体_GBK" w:eastAsia="方正黑体_GBK" w:cs="宋体"/>
                <w:b/>
                <w:sz w:val="22"/>
                <w:szCs w:val="22"/>
              </w:rPr>
              <w:t>本理财产品按前一日理财产品资产净值收取年化0.1%的销售费，按日计提。</w:t>
            </w:r>
          </w:p>
          <w:p w14:paraId="73E36B70">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413D6F25">
            <w:pPr>
              <w:spacing w:line="240" w:lineRule="auto"/>
              <w:rPr>
                <w:sz w:val="28"/>
                <w:szCs w:val="28"/>
              </w:rPr>
            </w:pPr>
            <w:r>
              <w:rPr>
                <w:rFonts w:ascii="方正黑体_GBK" w:hAnsi="方正黑体_GBK" w:eastAsia="方正黑体_GBK" w:cs="宋体"/>
                <w:b/>
                <w:sz w:val="22"/>
                <w:szCs w:val="22"/>
              </w:rPr>
              <w:t>N份额：</w:t>
            </w:r>
          </w:p>
          <w:p w14:paraId="014738CF">
            <w:pPr>
              <w:spacing w:line="240" w:lineRule="auto"/>
              <w:rPr>
                <w:sz w:val="28"/>
                <w:szCs w:val="28"/>
              </w:rPr>
            </w:pPr>
            <w:r>
              <w:rPr>
                <w:rFonts w:ascii="方正黑体_GBK" w:hAnsi="方正黑体_GBK" w:eastAsia="方正黑体_GBK" w:cs="宋体"/>
                <w:b/>
                <w:sz w:val="22"/>
                <w:szCs w:val="22"/>
              </w:rPr>
              <w:t>本理财产品一次性收取年化0.3%的销售费，按日摊销。</w:t>
            </w:r>
          </w:p>
          <w:p w14:paraId="61E4077A">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45A23947">
            <w:pPr>
              <w:spacing w:line="240" w:lineRule="auto"/>
              <w:rPr>
                <w:sz w:val="28"/>
                <w:szCs w:val="28"/>
              </w:rPr>
            </w:pPr>
            <w:r>
              <w:rPr>
                <w:rFonts w:ascii="方正黑体_GBK" w:hAnsi="方正黑体_GBK" w:eastAsia="方正黑体_GBK" w:cs="宋体"/>
                <w:b/>
                <w:sz w:val="22"/>
                <w:szCs w:val="22"/>
              </w:rPr>
              <w:t>O份额：</w:t>
            </w:r>
          </w:p>
          <w:p w14:paraId="44A35593">
            <w:pPr>
              <w:spacing w:line="240" w:lineRule="auto"/>
              <w:rPr>
                <w:sz w:val="28"/>
                <w:szCs w:val="28"/>
              </w:rPr>
            </w:pPr>
            <w:r>
              <w:rPr>
                <w:rFonts w:ascii="方正黑体_GBK" w:hAnsi="方正黑体_GBK" w:eastAsia="方正黑体_GBK" w:cs="宋体"/>
                <w:b/>
                <w:sz w:val="22"/>
                <w:szCs w:val="22"/>
              </w:rPr>
              <w:t>本理财产品一次性收取年化0.1%的销售费，按日摊销。</w:t>
            </w:r>
          </w:p>
          <w:p w14:paraId="443E21C6">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1F0CE032">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3D168982">
            <w:pPr>
              <w:spacing w:line="240" w:lineRule="auto"/>
              <w:rPr>
                <w:sz w:val="28"/>
                <w:szCs w:val="28"/>
              </w:rPr>
            </w:pPr>
            <w:r>
              <w:rPr>
                <w:rFonts w:ascii="方正黑体_GBK" w:hAnsi="方正黑体_GBK" w:eastAsia="方正黑体_GBK" w:cs="宋体"/>
                <w:b/>
                <w:sz w:val="22"/>
                <w:szCs w:val="22"/>
              </w:rPr>
              <w:t>A份额：固定管理费年化0.15%</w:t>
            </w:r>
          </w:p>
          <w:p w14:paraId="0DF2D3B5">
            <w:pPr>
              <w:spacing w:line="240" w:lineRule="auto"/>
              <w:rPr>
                <w:sz w:val="28"/>
                <w:szCs w:val="28"/>
              </w:rPr>
            </w:pPr>
            <w:r>
              <w:rPr>
                <w:rFonts w:ascii="方正黑体_GBK" w:hAnsi="方正黑体_GBK" w:eastAsia="方正黑体_GBK" w:cs="宋体"/>
                <w:b/>
                <w:sz w:val="22"/>
                <w:szCs w:val="22"/>
              </w:rPr>
              <w:t>B份额：固定管理费年化0.1%</w:t>
            </w:r>
          </w:p>
          <w:p w14:paraId="155CA7AF">
            <w:pPr>
              <w:spacing w:line="240" w:lineRule="auto"/>
              <w:rPr>
                <w:sz w:val="28"/>
                <w:szCs w:val="28"/>
              </w:rPr>
            </w:pPr>
            <w:r>
              <w:rPr>
                <w:rFonts w:ascii="方正黑体_GBK" w:hAnsi="方正黑体_GBK" w:eastAsia="方正黑体_GBK" w:cs="宋体"/>
                <w:b/>
                <w:sz w:val="22"/>
                <w:szCs w:val="22"/>
              </w:rPr>
              <w:t>C份额：固定管理费年化0.1%</w:t>
            </w:r>
          </w:p>
          <w:p w14:paraId="1231B3B0">
            <w:pPr>
              <w:spacing w:line="240" w:lineRule="auto"/>
              <w:rPr>
                <w:sz w:val="28"/>
                <w:szCs w:val="28"/>
              </w:rPr>
            </w:pPr>
            <w:r>
              <w:rPr>
                <w:rFonts w:ascii="方正黑体_GBK" w:hAnsi="方正黑体_GBK" w:eastAsia="方正黑体_GBK" w:cs="宋体"/>
                <w:b/>
                <w:sz w:val="22"/>
                <w:szCs w:val="22"/>
              </w:rPr>
              <w:t>E份额：固定管理费年化0.1%</w:t>
            </w:r>
          </w:p>
          <w:p w14:paraId="363F04A4">
            <w:pPr>
              <w:spacing w:line="240" w:lineRule="auto"/>
              <w:rPr>
                <w:sz w:val="28"/>
                <w:szCs w:val="28"/>
              </w:rPr>
            </w:pPr>
            <w:r>
              <w:rPr>
                <w:rFonts w:ascii="方正黑体_GBK" w:hAnsi="方正黑体_GBK" w:eastAsia="方正黑体_GBK" w:cs="宋体"/>
                <w:b/>
                <w:sz w:val="22"/>
                <w:szCs w:val="22"/>
              </w:rPr>
              <w:t>K份额：固定管理费年化0.05%</w:t>
            </w:r>
          </w:p>
          <w:p w14:paraId="794B92FE">
            <w:pPr>
              <w:spacing w:line="240" w:lineRule="auto"/>
              <w:rPr>
                <w:sz w:val="28"/>
                <w:szCs w:val="28"/>
              </w:rPr>
            </w:pPr>
            <w:r>
              <w:rPr>
                <w:rFonts w:ascii="方正黑体_GBK" w:hAnsi="方正黑体_GBK" w:eastAsia="方正黑体_GBK" w:cs="宋体"/>
                <w:b/>
                <w:sz w:val="22"/>
                <w:szCs w:val="22"/>
              </w:rPr>
              <w:t>L份额：固定管理费年化0.05%</w:t>
            </w:r>
          </w:p>
          <w:p w14:paraId="3F78C640">
            <w:pPr>
              <w:spacing w:line="240" w:lineRule="auto"/>
              <w:rPr>
                <w:sz w:val="28"/>
                <w:szCs w:val="28"/>
              </w:rPr>
            </w:pPr>
            <w:r>
              <w:rPr>
                <w:rFonts w:ascii="方正黑体_GBK" w:hAnsi="方正黑体_GBK" w:eastAsia="方正黑体_GBK" w:cs="宋体"/>
                <w:b/>
                <w:sz w:val="22"/>
                <w:szCs w:val="22"/>
              </w:rPr>
              <w:t>N份额：固定管理费年化0.05%</w:t>
            </w:r>
          </w:p>
          <w:p w14:paraId="1570BA47">
            <w:pPr>
              <w:spacing w:line="240" w:lineRule="auto"/>
              <w:rPr>
                <w:sz w:val="28"/>
                <w:szCs w:val="28"/>
              </w:rPr>
            </w:pPr>
            <w:r>
              <w:rPr>
                <w:rFonts w:ascii="方正黑体_GBK" w:hAnsi="方正黑体_GBK" w:eastAsia="方正黑体_GBK" w:cs="宋体"/>
                <w:b/>
                <w:sz w:val="22"/>
                <w:szCs w:val="22"/>
              </w:rPr>
              <w:t>O份额：固定管理费年化0.05%</w:t>
            </w:r>
          </w:p>
          <w:p w14:paraId="28536560">
            <w:pPr>
              <w:spacing w:line="240" w:lineRule="auto"/>
              <w:rPr>
                <w:sz w:val="28"/>
                <w:szCs w:val="28"/>
              </w:rPr>
            </w:pPr>
            <w:r>
              <w:rPr>
                <w:rFonts w:ascii="方正黑体_GBK" w:hAnsi="方正黑体_GBK" w:eastAsia="方正黑体_GBK" w:cs="宋体"/>
                <w:b/>
                <w:sz w:val="22"/>
                <w:szCs w:val="22"/>
              </w:rPr>
              <w:t>B2份额：固定管理费年化0.05%</w:t>
            </w:r>
          </w:p>
          <w:p w14:paraId="081A7A3E">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6D054C9F">
            <w:pPr>
              <w:spacing w:line="240" w:lineRule="auto"/>
              <w:rPr>
                <w:sz w:val="28"/>
                <w:szCs w:val="28"/>
              </w:rPr>
            </w:pPr>
            <w:r>
              <w:rPr>
                <w:rFonts w:ascii="方正黑体_GBK" w:hAnsi="方正黑体_GBK" w:eastAsia="方正黑体_GBK" w:cs="宋体"/>
                <w:b/>
                <w:sz w:val="22"/>
                <w:szCs w:val="22"/>
              </w:rPr>
              <w:t>托管费：</w:t>
            </w:r>
          </w:p>
          <w:p w14:paraId="57DE0470">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2589734C">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410F5583">
            <w:pPr>
              <w:spacing w:line="240" w:lineRule="auto"/>
              <w:rPr>
                <w:sz w:val="28"/>
                <w:szCs w:val="28"/>
              </w:rPr>
            </w:pPr>
            <w:r>
              <w:rPr>
                <w:rFonts w:ascii="方正黑体_GBK" w:hAnsi="方正黑体_GBK" w:eastAsia="方正黑体_GBK" w:cs="宋体"/>
                <w:b/>
                <w:sz w:val="22"/>
                <w:szCs w:val="22"/>
              </w:rPr>
              <w:t>信息技术服务费：</w:t>
            </w:r>
          </w:p>
          <w:p w14:paraId="0A933255">
            <w:pPr>
              <w:spacing w:line="240" w:lineRule="auto"/>
              <w:rPr>
                <w:sz w:val="28"/>
                <w:szCs w:val="28"/>
              </w:rPr>
            </w:pPr>
            <w:r>
              <w:rPr>
                <w:rFonts w:ascii="方正黑体_GBK" w:hAnsi="方正黑体_GBK" w:eastAsia="方正黑体_GBK" w:cs="宋体"/>
                <w:b/>
                <w:sz w:val="22"/>
                <w:szCs w:val="22"/>
              </w:rPr>
              <w:t>本理财产品按前一日理财产品资产净值收取年化0.002%的信息技术服务费，按日计提。</w:t>
            </w:r>
          </w:p>
          <w:p w14:paraId="4EA21BD9">
            <w:pPr>
              <w:spacing w:line="240" w:lineRule="auto"/>
              <w:rPr>
                <w:sz w:val="28"/>
                <w:szCs w:val="28"/>
              </w:rPr>
            </w:pPr>
            <w:r>
              <w:rPr>
                <w:rFonts w:ascii="方正黑体_GBK" w:hAnsi="方正黑体_GBK" w:eastAsia="方正黑体_GBK" w:cs="宋体"/>
                <w:b/>
                <w:sz w:val="22"/>
                <w:szCs w:val="22"/>
              </w:rPr>
              <w:t>每日计提的信息技术服务费=前一日理财产品资产净值×年化信息技术服务费率÷365</w:t>
            </w:r>
          </w:p>
          <w:p w14:paraId="5A23549B">
            <w:pPr>
              <w:spacing w:line="240" w:lineRule="auto"/>
              <w:rPr>
                <w:sz w:val="28"/>
                <w:szCs w:val="28"/>
              </w:rPr>
            </w:pPr>
            <w:r>
              <w:rPr>
                <w:rFonts w:ascii="方正黑体_GBK" w:hAnsi="方正黑体_GBK" w:eastAsia="方正黑体_GBK" w:cs="宋体"/>
                <w:b/>
                <w:sz w:val="22"/>
                <w:szCs w:val="22"/>
              </w:rPr>
              <w:t>业绩报酬：</w:t>
            </w:r>
          </w:p>
          <w:p w14:paraId="2147F1F4">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A份额：到期兑付时，当期产品投资的实际资产组合收益（扣除销售费、固定管理费、托管费等相关费用）超过1.68%（年化，即产品该份额对应的业绩报酬计提基准）时，超过部分管理人将按60%收取业绩报酬。</w:t>
            </w:r>
          </w:p>
          <w:p w14:paraId="159ABF7C">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B份额：到期兑付时，当期产品投资的实际资产组合收益（扣除销售费、固定管理费、托管费等相关费用）超过1.78%（年化，即产品该份额对应的业绩报酬计提基准）时，超过部分管理人将按60%收取业绩报酬。</w:t>
            </w:r>
          </w:p>
          <w:p w14:paraId="51A42780">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C份额：到期兑付时，当期产品投资的实际资产组合收益（扣除销售费、固定管理费、托管费等相关费用）超过1.88%（年化，即产品该份额对应的业绩报酬计提基准）时，超过部分管理人将按60%收取业绩报酬。</w:t>
            </w:r>
          </w:p>
          <w:p w14:paraId="08609F74">
            <w:pPr>
              <w:spacing w:line="240" w:lineRule="auto"/>
              <w:rPr>
                <w:sz w:val="28"/>
                <w:szCs w:val="28"/>
              </w:rPr>
            </w:pPr>
            <w:r>
              <w:rPr>
                <w:rFonts w:ascii="方正黑体_GBK" w:hAnsi="方正黑体_GBK" w:eastAsia="方正黑体_GBK" w:cs="宋体"/>
                <w:b/>
                <w:sz w:val="22"/>
                <w:szCs w:val="22"/>
              </w:rPr>
              <w:t>E份额：到期兑付时，当期产品投资的实际资产组合收益（扣除销售费、固定管理费、托管费等相关费用）超过1.83%（年化，即产品该份额对应的业绩报酬计提基准）时，超过部分管理人将按60%收取业绩报酬。</w:t>
            </w:r>
          </w:p>
          <w:p w14:paraId="2BDF8240">
            <w:pPr>
              <w:spacing w:line="240" w:lineRule="auto"/>
              <w:rPr>
                <w:sz w:val="28"/>
                <w:szCs w:val="28"/>
              </w:rPr>
            </w:pPr>
            <w:r>
              <w:rPr>
                <w:rFonts w:ascii="方正黑体_GBK" w:hAnsi="方正黑体_GBK" w:eastAsia="方正黑体_GBK" w:cs="宋体"/>
                <w:b/>
                <w:sz w:val="22"/>
                <w:szCs w:val="22"/>
              </w:rPr>
              <w:t>K份额：到期兑付时，当期产品投资的实际资产组合收益（扣除销售费、固定管理费、托管费等相关费用）超过1.93%（年化，即产品该份额对应的业绩报酬计提基准）时，超过部分管理人将按60%收取业绩报酬。</w:t>
            </w:r>
          </w:p>
          <w:p w14:paraId="2156AB93">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L份额：到期兑付时，当期产品投资的实际资产组合收益（扣除销售费、固定管理费、托管费等相关费用）超过1.93%（年化，即产品该份额对应的业绩报酬计提基准）时，超过部分管理人将按60%收取业绩报酬。</w:t>
            </w:r>
          </w:p>
          <w:p w14:paraId="4BF0D178">
            <w:pPr>
              <w:spacing w:line="240" w:lineRule="auto"/>
              <w:rPr>
                <w:sz w:val="28"/>
                <w:szCs w:val="28"/>
              </w:rPr>
            </w:pPr>
            <w:r>
              <w:rPr>
                <w:rFonts w:ascii="方正黑体_GBK" w:hAnsi="方正黑体_GBK" w:eastAsia="方正黑体_GBK" w:cs="宋体"/>
                <w:b/>
                <w:sz w:val="22"/>
                <w:szCs w:val="22"/>
              </w:rPr>
              <w:t>N份额：到期兑付时，当期产品投资的实际资产组合收益（扣除销售费、固定管理费、托管费等相关费用）超过1.68%（年化，即产品该份额对应的业绩报酬计提基准）时，超过部分管理人将按60%收取业绩报酬。</w:t>
            </w:r>
          </w:p>
          <w:p w14:paraId="0A63F447">
            <w:pPr>
              <w:spacing w:line="240" w:lineRule="auto"/>
              <w:rPr>
                <w:sz w:val="28"/>
                <w:szCs w:val="28"/>
              </w:rPr>
            </w:pPr>
            <w:r>
              <w:rPr>
                <w:rFonts w:ascii="方正黑体_GBK" w:hAnsi="方正黑体_GBK" w:eastAsia="方正黑体_GBK" w:cs="宋体"/>
                <w:b/>
                <w:sz w:val="22"/>
                <w:szCs w:val="22"/>
              </w:rPr>
              <w:t>O份额：到期兑付时，当期产品投资的实际资产组合收益（扣除销售费、固定管理费、托管费等相关费用）超过1.88%（年化，即产品该份额对应的业绩报酬计提基准）时，超过部分管理人将按60%收取业绩报酬。</w:t>
            </w:r>
          </w:p>
          <w:p w14:paraId="307D7DA2">
            <w:pPr>
              <w:spacing w:line="240" w:lineRule="auto"/>
              <w:rPr>
                <w:sz w:val="28"/>
                <w:szCs w:val="28"/>
              </w:rPr>
            </w:pPr>
            <w:r>
              <w:rPr>
                <w:rFonts w:ascii="方正黑体_GBK" w:hAnsi="方正黑体_GBK" w:eastAsia="方正黑体_GBK" w:cs="宋体"/>
                <w:b/>
                <w:sz w:val="22"/>
                <w:szCs w:val="22"/>
              </w:rPr>
              <w:t>B2份额：到期兑付时，当期产品投资的实际资产组合收益（扣除销售费、固定管理费、托管费等相关费用）超过1.83%（年化，即产品该份额对应的业绩报酬计提基准）时，超过部分管理人将按60%收取业绩报酬。</w:t>
            </w:r>
          </w:p>
          <w:p w14:paraId="22CBF21B">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0B24EB4B">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5144562D">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36CF8B1B">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1D22039A">
            <w:pPr>
              <w:spacing w:line="240" w:lineRule="auto"/>
              <w:rPr>
                <w:sz w:val="28"/>
                <w:szCs w:val="28"/>
              </w:rPr>
            </w:pPr>
            <w:r>
              <w:rPr>
                <w:rFonts w:ascii="方正黑体_GBK" w:hAnsi="方正黑体_GBK" w:eastAsia="方正黑体_GBK" w:cs="宋体"/>
                <w:b/>
                <w:sz w:val="22"/>
                <w:szCs w:val="22"/>
              </w:rPr>
              <w:t>计算本区间业绩报酬的公式如下：</w:t>
            </w:r>
          </w:p>
          <w:p w14:paraId="203AFFD3">
            <w:pPr>
              <w:spacing w:line="240" w:lineRule="auto"/>
              <w:rPr>
                <w:sz w:val="28"/>
                <w:szCs w:val="28"/>
              </w:rPr>
            </w:pPr>
            <w:r>
              <w:rPr>
                <w:rFonts w:ascii="方正黑体_GBK" w:hAnsi="方正黑体_GBK" w:eastAsia="方正黑体_GBK" w:cs="宋体"/>
                <w:b/>
                <w:sz w:val="22"/>
                <w:szCs w:val="22"/>
              </w:rPr>
              <w:t>A={B-C*D*(1+E*F/365)}*G。</w:t>
            </w:r>
          </w:p>
          <w:p w14:paraId="4B015073">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4C953615">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9D317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10AEA6E0">
            <w:pPr>
              <w:spacing w:line="240" w:lineRule="auto"/>
              <w:rPr>
                <w:sz w:val="28"/>
                <w:szCs w:val="28"/>
              </w:rPr>
            </w:pPr>
            <w:r>
              <w:rPr>
                <w:rFonts w:ascii="方正黑体_GBK" w:hAnsi="方正黑体_GBK" w:eastAsia="方正黑体_GBK" w:cs="宋体"/>
                <w:sz w:val="22"/>
                <w:szCs w:val="22"/>
              </w:rPr>
              <w:t>具体详见本理财产品风险揭示书。</w:t>
            </w:r>
          </w:p>
          <w:p w14:paraId="12F41E48">
            <w:pPr>
              <w:spacing w:line="240" w:lineRule="auto"/>
              <w:rPr>
                <w:sz w:val="28"/>
                <w:szCs w:val="28"/>
              </w:rPr>
            </w:pPr>
            <w:r>
              <w:rPr>
                <w:rFonts w:ascii="方正黑体_GBK" w:hAnsi="方正黑体_GBK" w:eastAsia="方正黑体_GBK" w:cs="宋体"/>
                <w:sz w:val="22"/>
                <w:szCs w:val="22"/>
              </w:rPr>
              <w:t>管理人将本着“诚实信用、勤勉尽责”的原则，依据法律法规及产品销售文件约定，对理财产品设立、投资、运作及终止的全过程实施全面风险管理。管理人已建立覆盖风险识别、评估、监测、预警、处置等环节的全面风险管理体系，综合运用投资分散化、准入管理、限额管理、集中度管控、压力测试、合规审查、关联交易公允性管理、业务流程及信息系统控制等手段，对产品可能面临的政策风险、信用风险、市场风险、流动性风险、交易对手风险、利率风险、汇率风险、通货膨胀风险、抵质押物变现风险、理财产品不成立风险、延期分配风险、提前终止风险、信息传递风险、不可抗力及以外事件风险等各类风险（如有）进行管控。</w:t>
            </w:r>
            <w:r>
              <w:rPr>
                <w:rFonts w:ascii="方正黑体_GBK" w:hAnsi="方正黑体_GBK" w:eastAsia="方正黑体_GBK"/>
                <w:sz w:val="28"/>
                <w:szCs w:val="28"/>
              </w:rPr>
              <w:br w:type="textWrapping"/>
            </w:r>
            <w:r>
              <w:rPr>
                <w:rFonts w:ascii="方正黑体_GBK" w:hAnsi="方正黑体_GBK" w:eastAsia="方正黑体_GBK" w:cs="宋体"/>
                <w:sz w:val="22"/>
                <w:szCs w:val="22"/>
              </w:rPr>
              <w:t>管理人上述风险管控措施为管理人基于正常市场环境及合理预期而设，不构成管理人对理财产品风险的完全消除或对理财产品本金安全和理财产品收益的任何承诺与保证。理财产品在实际运作中仍可能因市场、政策、操作、不可抗力等各类因素而遭受超出管理人风险控制措施覆盖范围的风险事件，从而导致理财产品净值波动乃至本金损失。</w:t>
            </w:r>
          </w:p>
        </w:tc>
      </w:tr>
      <w:tr w14:paraId="5DA20DAC">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81A80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5A04A107">
            <w:pPr>
              <w:spacing w:line="240" w:lineRule="auto"/>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亿元人民币。地址：江苏省南京市建邺区庐山路242号2号楼14-16层，电话：4001195302。</w:t>
            </w:r>
          </w:p>
          <w:p w14:paraId="7C6D5BB0">
            <w:pPr>
              <w:spacing w:line="240" w:lineRule="auto"/>
              <w:jc w:val="left"/>
              <w:rPr>
                <w:sz w:val="28"/>
                <w:szCs w:val="28"/>
              </w:rPr>
            </w:pPr>
            <w:r>
              <w:rPr>
                <w:rFonts w:ascii="方正黑体_GBK" w:hAnsi="方正黑体_GBK" w:eastAsia="方正黑体_GBK" w:cs="宋体"/>
                <w:sz w:val="22"/>
                <w:szCs w:val="22"/>
              </w:rPr>
              <w:t>管理人主要职责如下：</w:t>
            </w:r>
          </w:p>
          <w:p w14:paraId="66CD7F05">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08DC553D">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5B6F13EB">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6A9AA452">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52B77E6E">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51532242">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41A4B10C">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77444468">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6C533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7DC94DF7">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江苏太仓农村商业银行股份有限公司、青岛银行股份有限公司、江苏苏州农村商业银行股份有限公司、福建海峡银行股份有限公司、秦皇岛银行股份有限公司、泰安银行股份有限公司、宁波东海银行股份有限公司、齐鲁银行股份有限公司、贵阳银行股份有限公司、云南红塔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江苏江南农村商业银行股份有限公司、桂林银行股份有限公司、富邦华一银行有限公司、广州银行股份有限公司、无锡农村商业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海南银行股份有限公司、江苏丰县农村商业银行股份有限公司、江苏射阳农村商业银行股份有限公司、江苏句容农村商业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乌鲁木齐银行股份有限公司、河北银行股份有限公司、郑州银行股份有限公司、江苏姜堰农村商业银行股份有限公司、山西银行股份有限公司、江苏如东农村商业银行股份有限公司、北京银行股份有限公司、哈密市商业银行股份有限公司、江苏赣榆农村商业银行股份有限公司、江苏盱眙农村商业银行股份有限公司、兰州银行股份有限公司、东营银行股份有限公司、江苏沛县农村商业银行股份有限公司、甘肃银行股份有限公司、浙江民泰商业银行股份有限公司、江苏仪征农村商业银行股份有限公司、金华银行股份有限公司、吉林银行股份有限公司、连云港东方农村商业银行股份有限公司、德州银行股份有限公司、北京农村商业银行股份有限公司、上海农村商业银行股份有限公司、长安银行股份有限公司、江苏沭阳农村商业银行股份有限公司、海南农村商业银行股份有限公司、湖州银行股份有限公司、江苏灌云农村商业银行股份有限公司、江苏海安农村商业银行股份有限公司、江苏昆山农村商业银行股份有限公司、广州农村商业银行股份有限公司、江苏泰州农村商业银行股份有限公司、朝阳银行股份有限公司。销售机构基本信息详见第五条。</w:t>
            </w:r>
          </w:p>
          <w:p w14:paraId="05E50E26">
            <w:pPr>
              <w:spacing w:line="240" w:lineRule="auto"/>
              <w:jc w:val="left"/>
              <w:rPr>
                <w:sz w:val="28"/>
                <w:szCs w:val="28"/>
              </w:rPr>
            </w:pPr>
            <w:r>
              <w:rPr>
                <w:rFonts w:ascii="方正黑体_GBK" w:hAnsi="方正黑体_GBK" w:eastAsia="方正黑体_GBK" w:cs="宋体"/>
                <w:sz w:val="22"/>
                <w:szCs w:val="22"/>
              </w:rPr>
              <w:t>销售机构主要职责如下：</w:t>
            </w:r>
          </w:p>
          <w:p w14:paraId="5F9B7C36">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4553DA48">
            <w:pPr>
              <w:spacing w:line="240" w:lineRule="auto"/>
              <w:jc w:val="left"/>
              <w:rPr>
                <w:sz w:val="28"/>
                <w:szCs w:val="28"/>
              </w:rPr>
            </w:pPr>
            <w:r>
              <w:rPr>
                <w:rFonts w:ascii="方正黑体_GBK" w:hAnsi="方正黑体_GBK" w:eastAsia="方正黑体_GBK" w:cs="宋体"/>
                <w:sz w:val="22"/>
                <w:szCs w:val="22"/>
              </w:rPr>
              <w:t>2.对普通投资者的风险承受能力进行评估，确保投资者风险承受能力评估的客观性、及时性和有效性；</w:t>
            </w:r>
          </w:p>
          <w:p w14:paraId="4DA2126E">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3F202CCB">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19683968">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4394DBA7">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1EBE35FA">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1D338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4B6B3C0B">
            <w:pPr>
              <w:spacing w:line="240" w:lineRule="auto"/>
              <w:rPr>
                <w:sz w:val="28"/>
                <w:szCs w:val="28"/>
              </w:rPr>
            </w:pPr>
            <w:r>
              <w:rPr>
                <w:rFonts w:ascii="方正黑体_GBK" w:hAnsi="方正黑体_GBK" w:eastAsia="方正黑体_GBK" w:cs="宋体"/>
                <w:sz w:val="22"/>
                <w:szCs w:val="22"/>
              </w:rPr>
              <w:t>本理财产品托管人为南京银行股份有限公司，住所：南京市建邺区江山大街88号，联系方式：95302。</w:t>
            </w:r>
          </w:p>
          <w:p w14:paraId="301CC52B">
            <w:pPr>
              <w:spacing w:line="240" w:lineRule="auto"/>
              <w:rPr>
                <w:sz w:val="28"/>
                <w:szCs w:val="28"/>
              </w:rPr>
            </w:pPr>
            <w:r>
              <w:rPr>
                <w:rFonts w:ascii="方正黑体_GBK" w:hAnsi="方正黑体_GBK" w:eastAsia="方正黑体_GBK" w:cs="宋体"/>
                <w:sz w:val="22"/>
                <w:szCs w:val="22"/>
              </w:rPr>
              <w:t>主要职责如下：</w:t>
            </w:r>
          </w:p>
          <w:p w14:paraId="56881921">
            <w:pPr>
              <w:spacing w:line="240" w:lineRule="auto"/>
              <w:rPr>
                <w:sz w:val="28"/>
                <w:szCs w:val="28"/>
              </w:rPr>
            </w:pPr>
            <w:r>
              <w:rPr>
                <w:rFonts w:ascii="方正黑体_GBK" w:hAnsi="方正黑体_GBK" w:eastAsia="方正黑体_GBK" w:cs="宋体"/>
                <w:sz w:val="22"/>
                <w:szCs w:val="22"/>
              </w:rPr>
              <w:t>1.安全保管理财产品财产；</w:t>
            </w:r>
          </w:p>
          <w:p w14:paraId="52C38418">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5B853319">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1F9B7B45">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4174F10E">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50C5C56E">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2B49D9B5">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77211A98">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50E8962D">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0AE114C2">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05F9C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26FC35F2">
            <w:pPr>
              <w:spacing w:line="240" w:lineRule="auto"/>
              <w:rPr>
                <w:sz w:val="28"/>
                <w:szCs w:val="28"/>
              </w:rPr>
            </w:pPr>
            <w:r>
              <w:rPr>
                <w:rFonts w:ascii="方正黑体_GBK" w:hAnsi="方正黑体_GBK" w:eastAsia="方正黑体_GBK" w:cs="宋体"/>
                <w:sz w:val="22"/>
                <w:szCs w:val="22"/>
              </w:rPr>
              <w:t>本理财产品合作机构为国联基金管理有限公司、国寿投资保险资产管理有限公司、国投泰康信托有限公司、华能贵诚信托有限公司、华鑫国际信托有限公司、建信信托有限责任公司、江苏省国际信托有限责任公司、平安资产管理有限责任公司、上海国际信托有限公司、太平洋资产管理有限责任公司、太平资产管理有限公司、天津信托有限责任公司、西部信托有限公司、云南国际信托有限公司、中国人保资产管理有限公司、中粮信托有限责任公司、中信信托有限责任公司、鑫元基金管理有限公司，上述投资合作机构主要职责对应如下，具体职责以管理人与投资合作机构签署的合同为准。</w:t>
            </w:r>
          </w:p>
          <w:p w14:paraId="0E6235C9">
            <w:pPr>
              <w:spacing w:line="240" w:lineRule="auto"/>
              <w:rPr>
                <w:sz w:val="28"/>
                <w:szCs w:val="28"/>
              </w:rPr>
            </w:pPr>
            <w:r>
              <w:rPr>
                <w:rFonts w:ascii="方正黑体_GBK" w:hAnsi="方正黑体_GBK" w:eastAsia="方正黑体_GBK" w:cs="宋体"/>
                <w:sz w:val="22"/>
                <w:szCs w:val="22"/>
              </w:rPr>
              <w:t>1.合作机构为理财产品所投资资产管理产品的发行机构，主要承担资产管理产品的管理人职责：平安资产管理有限责任公司、太平洋资产管理有限责任公司、太平资产管理有限公司、中国人保资产管理有限公司。</w:t>
            </w:r>
          </w:p>
          <w:p w14:paraId="001451A2">
            <w:pPr>
              <w:spacing w:line="240" w:lineRule="auto"/>
              <w:rPr>
                <w:sz w:val="28"/>
                <w:szCs w:val="28"/>
              </w:rPr>
            </w:pPr>
            <w:r>
              <w:rPr>
                <w:rFonts w:ascii="方正黑体_GBK" w:hAnsi="方正黑体_GBK" w:eastAsia="方正黑体_GBK" w:cs="宋体"/>
                <w:sz w:val="22"/>
                <w:szCs w:val="22"/>
              </w:rPr>
              <w:t>2.合作机构为从事理财产品受托投资的机构，主要承担根据合同约定进行受托资金的投资管理的职责：国联基金管理有限公司、国寿投资保险资产管理有限公司、国投泰康信托有限公司、华能贵诚信托有限公司、华鑫国际信托有限公司、建信信托有限责任公司、江苏省国际信托有限责任公司、上海国际信托有限公司、天津信托有限责任公司、西部信托有限公司、云南国际信托有限公司、中粮信托有限责任公司、中信信托有限责任公司、鑫元基金管理有限公司。</w:t>
            </w:r>
          </w:p>
          <w:p w14:paraId="28DF6D2D">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4FC97024">
            <w:pPr>
              <w:spacing w:line="240" w:lineRule="auto"/>
              <w:rPr>
                <w:sz w:val="28"/>
                <w:szCs w:val="28"/>
              </w:rPr>
            </w:pPr>
            <w:r>
              <w:rPr>
                <w:rFonts w:ascii="方正黑体_GBK" w:hAnsi="方正黑体_GBK" w:eastAsia="方正黑体_GBK" w:cs="宋体"/>
                <w:sz w:val="22"/>
                <w:szCs w:val="22"/>
              </w:rPr>
              <w:t>上述投资合作机构简介：</w:t>
            </w:r>
          </w:p>
          <w:p w14:paraId="30DB67CC">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72CBB02C">
            <w:pPr>
              <w:spacing w:line="240" w:lineRule="auto"/>
              <w:rPr>
                <w:sz w:val="28"/>
                <w:szCs w:val="28"/>
              </w:rPr>
            </w:pPr>
            <w:r>
              <w:rPr>
                <w:rFonts w:ascii="方正黑体_GBK" w:hAnsi="方正黑体_GBK" w:eastAsia="方正黑体_GBK" w:cs="宋体"/>
                <w:sz w:val="22"/>
                <w:szCs w:val="22"/>
              </w:rPr>
              <w:t>国寿投资保险资产管理有限公司成立于1994年06月01日，注册资本金 370000万元。</w:t>
            </w:r>
          </w:p>
          <w:p w14:paraId="4780ECAD">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167629DD">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72515AD8">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79EFA032">
            <w:pPr>
              <w:spacing w:line="240" w:lineRule="auto"/>
              <w:rPr>
                <w:sz w:val="28"/>
                <w:szCs w:val="28"/>
              </w:rPr>
            </w:pPr>
            <w:r>
              <w:rPr>
                <w:rFonts w:ascii="方正黑体_GBK" w:hAnsi="方正黑体_GBK" w:eastAsia="方正黑体_GBK" w:cs="宋体"/>
                <w:sz w:val="22"/>
                <w:szCs w:val="22"/>
              </w:rPr>
              <w:t>建信信托有限责任公司成立于2003年12月31日，注册资本金105亿元。</w:t>
            </w:r>
          </w:p>
          <w:p w14:paraId="7C640136">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012E146D">
            <w:pPr>
              <w:spacing w:line="240" w:lineRule="auto"/>
              <w:rPr>
                <w:sz w:val="28"/>
                <w:szCs w:val="28"/>
              </w:rPr>
            </w:pPr>
            <w:r>
              <w:rPr>
                <w:rFonts w:ascii="方正黑体_GBK" w:hAnsi="方正黑体_GBK" w:eastAsia="方正黑体_GBK" w:cs="宋体"/>
                <w:sz w:val="22"/>
                <w:szCs w:val="22"/>
              </w:rPr>
              <w:t>平安资产管理有限责任公司成立于2005年05月27日，注册资本金15亿元。</w:t>
            </w:r>
          </w:p>
          <w:p w14:paraId="79948723">
            <w:pPr>
              <w:spacing w:line="240" w:lineRule="auto"/>
              <w:rPr>
                <w:sz w:val="28"/>
                <w:szCs w:val="28"/>
              </w:rPr>
            </w:pPr>
            <w:r>
              <w:rPr>
                <w:rFonts w:ascii="方正黑体_GBK" w:hAnsi="方正黑体_GBK" w:eastAsia="方正黑体_GBK" w:cs="宋体"/>
                <w:sz w:val="22"/>
                <w:szCs w:val="22"/>
              </w:rPr>
              <w:t>上海国际信托有限公司成立于1981年05月06日，注册资本金50亿元。</w:t>
            </w:r>
          </w:p>
          <w:p w14:paraId="26D0FD64">
            <w:pPr>
              <w:spacing w:line="240" w:lineRule="auto"/>
              <w:rPr>
                <w:sz w:val="28"/>
                <w:szCs w:val="28"/>
              </w:rPr>
            </w:pPr>
            <w:r>
              <w:rPr>
                <w:rFonts w:ascii="方正黑体_GBK" w:hAnsi="方正黑体_GBK" w:eastAsia="方正黑体_GBK" w:cs="宋体"/>
                <w:sz w:val="22"/>
                <w:szCs w:val="22"/>
              </w:rPr>
              <w:t>太平洋资产管理有限责任公司成立于2006年06月09日，注册资本金21亿元。</w:t>
            </w:r>
          </w:p>
          <w:p w14:paraId="35A023E0">
            <w:pPr>
              <w:spacing w:line="240" w:lineRule="auto"/>
              <w:rPr>
                <w:sz w:val="28"/>
                <w:szCs w:val="28"/>
              </w:rPr>
            </w:pPr>
            <w:r>
              <w:rPr>
                <w:rFonts w:ascii="方正黑体_GBK" w:hAnsi="方正黑体_GBK" w:eastAsia="方正黑体_GBK" w:cs="宋体"/>
                <w:sz w:val="22"/>
                <w:szCs w:val="22"/>
              </w:rPr>
              <w:t>太平资产管理有限公司成立于2006年09月01日，注册资本金10亿元。</w:t>
            </w:r>
          </w:p>
          <w:p w14:paraId="09CB0125">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77CB972A">
            <w:pPr>
              <w:spacing w:line="240" w:lineRule="auto"/>
              <w:rPr>
                <w:sz w:val="28"/>
                <w:szCs w:val="28"/>
              </w:rPr>
            </w:pPr>
            <w:r>
              <w:rPr>
                <w:rFonts w:ascii="方正黑体_GBK" w:hAnsi="方正黑体_GBK" w:eastAsia="方正黑体_GBK" w:cs="宋体"/>
                <w:sz w:val="22"/>
                <w:szCs w:val="22"/>
              </w:rPr>
              <w:t>西部信托有限公司成立于2002年07月18日，注册资本金20亿元。</w:t>
            </w:r>
          </w:p>
          <w:p w14:paraId="0507C835">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283B552F">
            <w:pPr>
              <w:spacing w:line="240" w:lineRule="auto"/>
              <w:rPr>
                <w:sz w:val="28"/>
                <w:szCs w:val="28"/>
              </w:rPr>
            </w:pPr>
            <w:r>
              <w:rPr>
                <w:rFonts w:ascii="方正黑体_GBK" w:hAnsi="方正黑体_GBK" w:eastAsia="方正黑体_GBK" w:cs="宋体"/>
                <w:sz w:val="22"/>
                <w:szCs w:val="22"/>
              </w:rPr>
              <w:t>中国人保资产管理有限公司成立于2003年07月16日，注册资本金12.98亿元。</w:t>
            </w:r>
          </w:p>
          <w:p w14:paraId="62AB7743">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774AC8D2">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1114C34E">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760476E5">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902A4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4CF3493A">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2636E221">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23873957">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50442C91">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0CF24D8C">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126ED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2B8B4793">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税费（如：增值税及附加税费等）由管理人作为纳税人进行缴纳，相关税款由理财产品财产承担。除法律法规特别要求外，投资者应缴纳的税收由投资者负责，管理人不负责代扣代缴。</w:t>
            </w:r>
          </w:p>
        </w:tc>
      </w:tr>
    </w:tbl>
    <w:p w14:paraId="1FC3E9C0">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4636A50D">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4BB0186A">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4298E459">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180C74E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286AF710">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1FB5CCB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3A5CD67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00E688F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6DDC0FD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079C28D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 xml:space="preserve"> 7.专业投资者：根据监管规定，指符合下列条件之一的投资者：</w:t>
      </w:r>
    </w:p>
    <w:p w14:paraId="77A9034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w:t>
      </w:r>
      <w:r>
        <w:rPr>
          <w:rFonts w:ascii="方正黑体_GBK" w:hAnsi="方正黑体_GBK" w:eastAsia="方正黑体_GBK"/>
          <w:color w:val="3D3D3D"/>
          <w:kern w:val="0"/>
          <w:sz w:val="20"/>
          <w:szCs w:val="20"/>
        </w:rPr>
        <w:t>1</w:t>
      </w:r>
      <w:r>
        <w:rPr>
          <w:rFonts w:hint="eastAsia" w:ascii="方正黑体_GBK" w:hAnsi="方正黑体_GBK" w:eastAsia="方正黑体_GBK"/>
          <w:color w:val="3D3D3D"/>
          <w:kern w:val="0"/>
          <w:sz w:val="20"/>
          <w:szCs w:val="20"/>
        </w:rPr>
        <w:t>）银行业金融机构、保险业金融机构、金融控股公司、证券基金期货经营机构、私募基金管理人；</w:t>
      </w:r>
    </w:p>
    <w:p w14:paraId="256F0DD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w:t>
      </w:r>
      <w:r>
        <w:rPr>
          <w:rFonts w:ascii="方正黑体_GBK" w:hAnsi="方正黑体_GBK" w:eastAsia="方正黑体_GBK"/>
          <w:color w:val="3D3D3D"/>
          <w:kern w:val="0"/>
          <w:sz w:val="20"/>
          <w:szCs w:val="20"/>
        </w:rPr>
        <w:t>2</w:t>
      </w:r>
      <w:r>
        <w:rPr>
          <w:rFonts w:hint="eastAsia" w:ascii="方正黑体_GBK" w:hAnsi="方正黑体_GBK" w:eastAsia="方正黑体_GBK"/>
          <w:color w:val="3D3D3D"/>
          <w:kern w:val="0"/>
          <w:sz w:val="20"/>
          <w:szCs w:val="20"/>
        </w:rPr>
        <w:t>）上述机构面向投资者发行的金融产品，信托公司管理的资产服务信托、公益慈善信托；</w:t>
      </w:r>
    </w:p>
    <w:p w14:paraId="187A5FD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w:t>
      </w:r>
      <w:r>
        <w:rPr>
          <w:rFonts w:ascii="方正黑体_GBK" w:hAnsi="方正黑体_GBK" w:eastAsia="方正黑体_GBK"/>
          <w:color w:val="3D3D3D"/>
          <w:kern w:val="0"/>
          <w:sz w:val="20"/>
          <w:szCs w:val="20"/>
        </w:rPr>
        <w:t>3</w:t>
      </w:r>
      <w:r>
        <w:rPr>
          <w:rFonts w:hint="eastAsia" w:ascii="方正黑体_GBK" w:hAnsi="方正黑体_GBK" w:eastAsia="方正黑体_GBK"/>
          <w:color w:val="3D3D3D"/>
          <w:kern w:val="0"/>
          <w:sz w:val="20"/>
          <w:szCs w:val="20"/>
        </w:rPr>
        <w:t>）社会保障基金、企业年金、职业年金等养老基金，慈善基金等社会公益基金，合格境外机构投资者（</w:t>
      </w:r>
      <w:r>
        <w:rPr>
          <w:rFonts w:ascii="方正黑体_GBK" w:hAnsi="方正黑体_GBK" w:eastAsia="方正黑体_GBK"/>
          <w:color w:val="3D3D3D"/>
          <w:kern w:val="0"/>
          <w:sz w:val="20"/>
          <w:szCs w:val="20"/>
        </w:rPr>
        <w:t>QFII</w:t>
      </w:r>
      <w:r>
        <w:rPr>
          <w:rFonts w:hint="eastAsia" w:ascii="方正黑体_GBK" w:hAnsi="方正黑体_GBK" w:eastAsia="方正黑体_GBK"/>
          <w:color w:val="3D3D3D"/>
          <w:kern w:val="0"/>
          <w:sz w:val="20"/>
          <w:szCs w:val="20"/>
        </w:rPr>
        <w:t>）、人民币合格境外机构投资者（</w:t>
      </w:r>
      <w:r>
        <w:rPr>
          <w:rFonts w:ascii="方正黑体_GBK" w:hAnsi="方正黑体_GBK" w:eastAsia="方正黑体_GBK"/>
          <w:color w:val="3D3D3D"/>
          <w:kern w:val="0"/>
          <w:sz w:val="20"/>
          <w:szCs w:val="20"/>
        </w:rPr>
        <w:t>RQFII</w:t>
      </w:r>
      <w:r>
        <w:rPr>
          <w:rFonts w:hint="eastAsia" w:ascii="方正黑体_GBK" w:hAnsi="方正黑体_GBK" w:eastAsia="方正黑体_GBK"/>
          <w:color w:val="3D3D3D"/>
          <w:kern w:val="0"/>
          <w:sz w:val="20"/>
          <w:szCs w:val="20"/>
        </w:rPr>
        <w:t>）。</w:t>
      </w:r>
    </w:p>
    <w:p w14:paraId="7CE585E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lang w:val="en-US" w:eastAsia="zh-CN"/>
        </w:rPr>
        <w:t xml:space="preserve"> 8.普通投资者：专业投资者之外的投资者为普通投资者</w:t>
      </w:r>
    </w:p>
    <w:p w14:paraId="2111B90A">
      <w:pPr>
        <w:pStyle w:val="44"/>
        <w:keepNext w:val="0"/>
        <w:keepLines w:val="0"/>
        <w:pageBreakBefore w:val="0"/>
        <w:widowControl/>
        <w:numPr>
          <w:ilvl w:val="0"/>
          <w:numId w:val="1"/>
        </w:numPr>
        <w:suppressLineNumbers w:val="0"/>
        <w:suppressAutoHyphens w:val="0"/>
        <w:spacing w:line="240" w:lineRule="auto"/>
        <w:ind w:left="0" w:firstLine="289"/>
        <w:outlineLvl w:val="1"/>
        <w:rPr>
          <w:rFonts w:hint="eastAsia" w:ascii="方正黑体_GBK" w:hAnsi="方正黑体_GBK" w:eastAsia="方正黑体_GBK"/>
          <w:color w:val="3D3D3D"/>
          <w:kern w:val="0"/>
          <w:sz w:val="20"/>
          <w:szCs w:val="20"/>
        </w:rPr>
      </w:pPr>
      <w:r>
        <w:rPr>
          <w:rFonts w:hint="eastAsia" w:ascii="方正黑体_GBK" w:hAnsi="方正黑体_GBK" w:eastAsia="方正黑体_GBK"/>
          <w:color w:val="3D3D3D"/>
          <w:kern w:val="0"/>
          <w:sz w:val="20"/>
          <w:szCs w:val="20"/>
        </w:rPr>
        <w:t>法律文件用语</w:t>
      </w:r>
    </w:p>
    <w:p w14:paraId="4F5EB37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r>
        <w:rPr>
          <w:rFonts w:hint="eastAsia" w:ascii="方正黑体_GBK" w:hAnsi="方正黑体_GBK" w:eastAsia="方正黑体_GBK" w:cs="Times New Roman"/>
          <w:color w:val="3D3D3D"/>
          <w:sz w:val="20"/>
          <w:szCs w:val="20"/>
          <w:lang w:val="en-US" w:eastAsia="zh-CN"/>
        </w:rPr>
        <w:t>，具体名称及内容以销售机构为准</w:t>
      </w:r>
      <w:r>
        <w:rPr>
          <w:rFonts w:ascii="方正黑体_GBK" w:hAnsi="方正黑体_GBK" w:eastAsia="方正黑体_GBK"/>
          <w:color w:val="3D3D3D"/>
          <w:kern w:val="0"/>
          <w:sz w:val="20"/>
          <w:szCs w:val="20"/>
          <w:highlight w:val="none"/>
        </w:rPr>
        <w:t>。</w:t>
      </w:r>
    </w:p>
    <w:p w14:paraId="25A55D8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0D1B764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5FCD0C3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r>
        <w:rPr>
          <w:rFonts w:hint="eastAsia" w:ascii="方正黑体_GBK" w:hAnsi="方正黑体_GBK" w:eastAsia="方正黑体_GBK" w:cs="Times New Roman"/>
          <w:color w:val="3D3D3D"/>
          <w:sz w:val="20"/>
          <w:szCs w:val="20"/>
          <w:lang w:val="en-US" w:eastAsia="zh-CN"/>
        </w:rPr>
        <w:t>，具体名称及内容以销售机构为准</w:t>
      </w:r>
      <w:r>
        <w:rPr>
          <w:rFonts w:ascii="方正黑体_GBK" w:hAnsi="方正黑体_GBK" w:eastAsia="方正黑体_GBK"/>
          <w:color w:val="3D3D3D"/>
          <w:kern w:val="0"/>
          <w:sz w:val="20"/>
          <w:szCs w:val="20"/>
          <w:highlight w:val="none"/>
        </w:rPr>
        <w:t>。</w:t>
      </w:r>
    </w:p>
    <w:p w14:paraId="2CC01B1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7F63E5A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4F8F4193">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4B6F1B0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1AFEC10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2266D94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687C931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7128C1A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33A9E8B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4D0DB49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609E73E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5B4ACA1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07B2CCF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5BBE081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53D5291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21D83BB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5B3D31E8">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49130FDC">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南银理财珠联璧合鑫逸稳三个月152期封闭式公募人民币理财产品</w:t>
      </w:r>
      <w:r>
        <w:rPr>
          <w:rFonts w:hint="eastAsia" w:ascii="方正黑体_GBK" w:hAnsi="方正黑体_GBK" w:eastAsia="方正黑体_GBK"/>
          <w:vanish w:val="0"/>
          <w:color w:val="3D3D3D"/>
          <w:kern w:val="0"/>
          <w:sz w:val="20"/>
          <w:szCs w:val="20"/>
        </w:rPr>
        <w:t>。</w:t>
      </w:r>
    </w:p>
    <w:p w14:paraId="4C04EF2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45080B0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4D005A9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3D68D34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32571D77">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7AF8FC6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027D32A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33666BA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72F2E23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1A7FF45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6A91079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41C3E9F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34E907B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6196641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558E29D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73B91BC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5E88484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4C5352CA">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2B9625E8">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0C0B53D7">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084ED987">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5E444A84">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05E98A69">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3D7A850E">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或全球金融外汇市场发生致使无法进行货币兑换、划转等的异常变化；</w:t>
      </w:r>
    </w:p>
    <w:p w14:paraId="75BAC059">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3DF3A72C">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4142E77F">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5370527C">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34FCCE25">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5A205286">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4035111C">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1D015B8B">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3AB17E1B">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03C58E2D">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2C6F8F6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28D5EA39">
      <w:pPr>
        <w:spacing w:line="240" w:lineRule="auto"/>
        <w:ind w:firstLine="300"/>
        <w:jc w:val="both"/>
        <w:rPr>
          <w:sz w:val="28"/>
          <w:szCs w:val="28"/>
        </w:rPr>
      </w:pPr>
      <w:r>
        <w:rPr>
          <w:rFonts w:ascii="方正黑体_GBK" w:hAnsi="方正黑体_GBK" w:eastAsia="方正黑体_GBK" w:cs="宋体"/>
          <w:sz w:val="20"/>
          <w:szCs w:val="24"/>
        </w:rPr>
        <w:t>（一）估值日</w:t>
      </w:r>
    </w:p>
    <w:p w14:paraId="315390F1">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040FC609">
      <w:pPr>
        <w:spacing w:line="240" w:lineRule="auto"/>
        <w:ind w:firstLine="300"/>
        <w:jc w:val="both"/>
        <w:rPr>
          <w:sz w:val="28"/>
          <w:szCs w:val="28"/>
        </w:rPr>
      </w:pPr>
      <w:r>
        <w:rPr>
          <w:rFonts w:ascii="方正黑体_GBK" w:hAnsi="方正黑体_GBK" w:eastAsia="方正黑体_GBK" w:cs="宋体"/>
          <w:sz w:val="20"/>
          <w:szCs w:val="24"/>
        </w:rPr>
        <w:t>（二）估值对象</w:t>
      </w:r>
    </w:p>
    <w:p w14:paraId="5F71571A">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2A7E8779">
      <w:pPr>
        <w:spacing w:line="240" w:lineRule="auto"/>
        <w:ind w:firstLine="300"/>
        <w:jc w:val="both"/>
        <w:rPr>
          <w:sz w:val="28"/>
          <w:szCs w:val="28"/>
        </w:rPr>
      </w:pPr>
      <w:r>
        <w:rPr>
          <w:rFonts w:ascii="方正黑体_GBK" w:hAnsi="方正黑体_GBK" w:eastAsia="方正黑体_GBK" w:cs="宋体"/>
          <w:sz w:val="20"/>
          <w:szCs w:val="24"/>
        </w:rPr>
        <w:t>（三）估值目的</w:t>
      </w:r>
    </w:p>
    <w:p w14:paraId="4FB9B01C">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45C8E176">
      <w:pPr>
        <w:spacing w:line="240" w:lineRule="auto"/>
        <w:ind w:firstLine="300"/>
        <w:jc w:val="both"/>
        <w:rPr>
          <w:sz w:val="28"/>
          <w:szCs w:val="28"/>
        </w:rPr>
      </w:pPr>
      <w:r>
        <w:rPr>
          <w:rFonts w:ascii="方正黑体_GBK" w:hAnsi="方正黑体_GBK" w:eastAsia="方正黑体_GBK" w:cs="宋体"/>
          <w:sz w:val="20"/>
          <w:szCs w:val="24"/>
        </w:rPr>
        <w:t>（四）估值原则</w:t>
      </w:r>
    </w:p>
    <w:p w14:paraId="6498692D">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3BED5708">
      <w:pPr>
        <w:spacing w:line="240" w:lineRule="auto"/>
        <w:ind w:firstLine="300"/>
        <w:jc w:val="both"/>
        <w:rPr>
          <w:sz w:val="28"/>
          <w:szCs w:val="28"/>
        </w:rPr>
      </w:pPr>
      <w:r>
        <w:rPr>
          <w:rFonts w:ascii="方正黑体_GBK" w:hAnsi="方正黑体_GBK" w:eastAsia="方正黑体_GBK" w:cs="宋体"/>
          <w:sz w:val="20"/>
          <w:szCs w:val="24"/>
        </w:rPr>
        <w:t>（五）估值方法</w:t>
      </w:r>
    </w:p>
    <w:p w14:paraId="5B80C4D9">
      <w:pPr>
        <w:spacing w:line="240" w:lineRule="auto"/>
        <w:ind w:firstLine="440"/>
        <w:rPr>
          <w:sz w:val="28"/>
          <w:szCs w:val="28"/>
        </w:rPr>
      </w:pPr>
      <w:r>
        <w:rPr>
          <w:rFonts w:ascii="方正黑体_GBK" w:hAnsi="方正黑体_GBK" w:eastAsia="方正黑体_GBK" w:cs="宋体"/>
          <w:sz w:val="20"/>
          <w:szCs w:val="24"/>
        </w:rPr>
        <w:t>估值方法中列示的资产品种不代表管理人的实际投向，本理财产品拟投资范围以“投资范围”章节描述为准。</w:t>
      </w:r>
    </w:p>
    <w:p w14:paraId="165D0BBE">
      <w:pPr>
        <w:spacing w:line="240" w:lineRule="auto"/>
        <w:ind w:firstLine="440"/>
        <w:rPr>
          <w:sz w:val="28"/>
          <w:szCs w:val="28"/>
        </w:rPr>
      </w:pPr>
      <w:r>
        <w:rPr>
          <w:rFonts w:ascii="方正黑体_GBK" w:hAnsi="方正黑体_GBK" w:eastAsia="方正黑体_GBK" w:cs="宋体"/>
          <w:sz w:val="20"/>
          <w:szCs w:val="24"/>
        </w:rPr>
        <w:t>1.银行存款、回购等货币市场工具</w:t>
      </w:r>
    </w:p>
    <w:p w14:paraId="732905BC">
      <w:pPr>
        <w:spacing w:line="240" w:lineRule="auto"/>
        <w:ind w:firstLine="440"/>
        <w:rPr>
          <w:sz w:val="28"/>
          <w:szCs w:val="28"/>
        </w:rPr>
      </w:pPr>
      <w:r>
        <w:rPr>
          <w:rFonts w:ascii="方正黑体_GBK" w:hAnsi="方正黑体_GBK" w:eastAsia="方正黑体_GBK" w:cs="宋体"/>
          <w:sz w:val="20"/>
          <w:szCs w:val="24"/>
        </w:rPr>
        <w:t>以本金列示，逐日计提利息。</w:t>
      </w:r>
    </w:p>
    <w:p w14:paraId="11F7E371">
      <w:pPr>
        <w:spacing w:line="240" w:lineRule="auto"/>
        <w:ind w:firstLine="440"/>
        <w:rPr>
          <w:sz w:val="28"/>
          <w:szCs w:val="28"/>
        </w:rPr>
      </w:pPr>
      <w:r>
        <w:rPr>
          <w:rFonts w:ascii="方正黑体_GBK" w:hAnsi="方正黑体_GBK" w:eastAsia="方正黑体_GBK" w:cs="宋体"/>
          <w:sz w:val="20"/>
          <w:szCs w:val="24"/>
        </w:rPr>
        <w:t>2.债券类资产</w:t>
      </w:r>
    </w:p>
    <w:p w14:paraId="071BD6B6">
      <w:pPr>
        <w:spacing w:line="240" w:lineRule="auto"/>
        <w:ind w:firstLine="440"/>
        <w:rPr>
          <w:sz w:val="28"/>
          <w:szCs w:val="28"/>
        </w:rPr>
      </w:pPr>
      <w:r>
        <w:rPr>
          <w:rFonts w:ascii="方正黑体_GBK" w:hAnsi="方正黑体_GBK" w:eastAsia="方正黑体_GBK" w:cs="宋体"/>
          <w:sz w:val="20"/>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4F30A48F">
      <w:pPr>
        <w:spacing w:line="240" w:lineRule="auto"/>
        <w:ind w:firstLine="440"/>
        <w:rPr>
          <w:sz w:val="28"/>
          <w:szCs w:val="28"/>
        </w:rPr>
      </w:pPr>
      <w:r>
        <w:rPr>
          <w:rFonts w:ascii="方正黑体_GBK" w:hAnsi="方正黑体_GBK" w:eastAsia="方正黑体_GBK" w:cs="宋体"/>
          <w:sz w:val="20"/>
          <w:szCs w:val="24"/>
        </w:rPr>
        <w:t>3.非标准化债权类资产</w:t>
      </w:r>
    </w:p>
    <w:p w14:paraId="356BBAB1">
      <w:pPr>
        <w:spacing w:line="240" w:lineRule="auto"/>
        <w:ind w:firstLine="440"/>
        <w:rPr>
          <w:sz w:val="28"/>
          <w:szCs w:val="28"/>
        </w:rPr>
      </w:pPr>
      <w:r>
        <w:rPr>
          <w:rFonts w:ascii="方正黑体_GBK" w:hAnsi="方正黑体_GBK" w:eastAsia="方正黑体_GBK" w:cs="宋体"/>
          <w:sz w:val="20"/>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1E6A230C">
      <w:pPr>
        <w:spacing w:line="240" w:lineRule="auto"/>
        <w:ind w:firstLine="440"/>
        <w:rPr>
          <w:sz w:val="28"/>
          <w:szCs w:val="28"/>
        </w:rPr>
      </w:pPr>
      <w:r>
        <w:rPr>
          <w:rFonts w:ascii="方正黑体_GBK" w:hAnsi="方正黑体_GBK" w:eastAsia="方正黑体_GBK" w:cs="宋体"/>
          <w:sz w:val="20"/>
          <w:szCs w:val="24"/>
        </w:rPr>
        <w:t>4.证券投资基金、资管计划、信托计划等资产</w:t>
      </w:r>
    </w:p>
    <w:p w14:paraId="1FCD7C30">
      <w:pPr>
        <w:spacing w:line="240" w:lineRule="auto"/>
        <w:ind w:firstLine="440"/>
        <w:rPr>
          <w:sz w:val="28"/>
          <w:szCs w:val="28"/>
        </w:rPr>
      </w:pPr>
      <w:r>
        <w:rPr>
          <w:rFonts w:ascii="方正黑体_GBK" w:hAnsi="方正黑体_GBK" w:eastAsia="方正黑体_GBK" w:cs="宋体"/>
          <w:sz w:val="20"/>
          <w:szCs w:val="24"/>
        </w:rPr>
        <w:t>按照公允价值估值，优先采用市值法估值。管理人将根据监管要求进行穿透管理，资管产品穿透后与理财公司关于同一投资品种的估值原则、政策、技术和方法等一致。</w:t>
      </w:r>
    </w:p>
    <w:p w14:paraId="3B1085D0">
      <w:pPr>
        <w:spacing w:line="240" w:lineRule="auto"/>
        <w:ind w:firstLine="440"/>
        <w:rPr>
          <w:sz w:val="28"/>
          <w:szCs w:val="28"/>
        </w:rPr>
      </w:pPr>
      <w:r>
        <w:rPr>
          <w:rFonts w:ascii="方正黑体_GBK" w:hAnsi="方正黑体_GBK" w:eastAsia="方正黑体_GBK" w:cs="宋体"/>
          <w:sz w:val="20"/>
          <w:szCs w:val="24"/>
        </w:rPr>
        <w:t>5.股权类及其他资产</w:t>
      </w:r>
    </w:p>
    <w:p w14:paraId="6011C779">
      <w:pPr>
        <w:spacing w:line="240" w:lineRule="auto"/>
        <w:ind w:firstLine="440"/>
        <w:rPr>
          <w:sz w:val="28"/>
          <w:szCs w:val="28"/>
        </w:rPr>
      </w:pPr>
      <w:r>
        <w:rPr>
          <w:rFonts w:ascii="方正黑体_GBK" w:hAnsi="方正黑体_GBK" w:eastAsia="方正黑体_GBK" w:cs="宋体"/>
          <w:sz w:val="20"/>
          <w:szCs w:val="24"/>
        </w:rPr>
        <w:t>按照公允价值估值，优先采用市值法估值。</w:t>
      </w:r>
    </w:p>
    <w:p w14:paraId="2EABDDC3">
      <w:pPr>
        <w:spacing w:line="240" w:lineRule="auto"/>
        <w:ind w:firstLine="440"/>
        <w:rPr>
          <w:sz w:val="28"/>
          <w:szCs w:val="28"/>
        </w:rPr>
      </w:pPr>
      <w:r>
        <w:rPr>
          <w:rFonts w:ascii="方正黑体_GBK" w:hAnsi="方正黑体_GBK" w:eastAsia="方正黑体_GBK" w:cs="宋体"/>
          <w:sz w:val="20"/>
          <w:szCs w:val="24"/>
        </w:rPr>
        <w:t>6.如有新增事项或变更事项，按国家最新规定或监管最新要求进行调整。</w:t>
      </w:r>
    </w:p>
    <w:p w14:paraId="3042E048">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015A89D1">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741CABDB">
      <w:pPr>
        <w:pStyle w:val="29"/>
        <w:pBdr>
          <w:top w:val="none" w:color="auto" w:sz="0" w:space="0"/>
          <w:left w:val="none" w:color="auto" w:sz="0" w:space="0"/>
          <w:bottom w:val="none" w:color="auto" w:sz="0" w:space="0"/>
          <w:right w:val="none" w:color="auto" w:sz="0" w:space="0"/>
        </w:pBdr>
        <w:spacing w:line="240" w:lineRule="auto"/>
        <w:rPr>
          <w:rFonts w:hint="eastAsia" w:ascii="方正黑体_GBK" w:hAnsi="方正黑体_GBK" w:eastAsia="方正黑体_GBK" w:cs="宋体"/>
          <w:b/>
          <w:bCs/>
          <w:vanish w:val="0"/>
          <w:sz w:val="20"/>
          <w:szCs w:val="20"/>
        </w:rPr>
      </w:pPr>
      <w:r>
        <w:rPr>
          <w:rFonts w:hint="eastAsia" w:ascii="方正黑体_GBK" w:hAnsi="方正黑体_GBK" w:eastAsia="方正黑体_GBK" w:cs="宋体"/>
          <w:b/>
          <w:bCs/>
          <w:vanish w:val="0"/>
          <w:sz w:val="20"/>
          <w:szCs w:val="20"/>
        </w:rPr>
        <w:t>第五条 主体机构</w:t>
      </w:r>
    </w:p>
    <w:p w14:paraId="0F09FBDA">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（一）销售机构基本信息</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1857"/>
        <w:gridCol w:w="3676"/>
        <w:gridCol w:w="2544"/>
      </w:tblGrid>
      <w:tr w14:paraId="493A118B">
        <w:trPr>
          <w:trHeight w:val="300" w:hRule="atLeast"/>
        </w:trPr>
        <w:tc>
          <w:tcPr>
            <w:tcW w:w="2100" w:type="dxa"/>
            <w:tcMar>
              <w:left w:w="120" w:type="dxa"/>
            </w:tcMar>
            <w:vAlign w:val="center"/>
          </w:tcPr>
          <w:p w14:paraId="55D951DC">
            <w:pPr>
              <w:spacing w:line="240" w:lineRule="auto"/>
              <w:rPr>
                <w:sz w:val="28"/>
                <w:szCs w:val="28"/>
              </w:rPr>
            </w:pPr>
            <w:r>
              <w:rPr>
                <w:rFonts w:ascii="方正黑体_GBK" w:hAnsi="方正黑体_GBK" w:eastAsia="方正黑体_GBK" w:cs="宋体"/>
                <w:b/>
                <w:sz w:val="20"/>
                <w:szCs w:val="24"/>
              </w:rPr>
              <w:t>销售机构名称</w:t>
            </w:r>
          </w:p>
        </w:tc>
        <w:tc>
          <w:tcPr>
            <w:tcW w:w="4050" w:type="dxa"/>
            <w:tcMar>
              <w:left w:w="120" w:type="dxa"/>
            </w:tcMar>
            <w:vAlign w:val="center"/>
          </w:tcPr>
          <w:p w14:paraId="003BEE7D">
            <w:pPr>
              <w:spacing w:line="240" w:lineRule="auto"/>
              <w:rPr>
                <w:sz w:val="28"/>
                <w:szCs w:val="28"/>
              </w:rPr>
            </w:pPr>
            <w:r>
              <w:rPr>
                <w:rFonts w:ascii="方正黑体_GBK" w:hAnsi="方正黑体_GBK" w:eastAsia="方正黑体_GBK" w:cs="宋体"/>
                <w:b/>
                <w:sz w:val="20"/>
                <w:szCs w:val="24"/>
              </w:rPr>
              <w:t>住所</w:t>
            </w:r>
          </w:p>
        </w:tc>
        <w:tc>
          <w:tcPr>
            <w:tcW w:w="1350" w:type="dxa"/>
            <w:tcMar>
              <w:left w:w="120" w:type="dxa"/>
            </w:tcMar>
            <w:vAlign w:val="center"/>
          </w:tcPr>
          <w:p w14:paraId="7099A595">
            <w:pPr>
              <w:spacing w:line="240" w:lineRule="auto"/>
              <w:rPr>
                <w:sz w:val="28"/>
                <w:szCs w:val="28"/>
              </w:rPr>
            </w:pPr>
            <w:r>
              <w:rPr>
                <w:rFonts w:ascii="方正黑体_GBK" w:hAnsi="方正黑体_GBK" w:eastAsia="方正黑体_GBK" w:cs="宋体"/>
                <w:b/>
                <w:sz w:val="20"/>
                <w:szCs w:val="24"/>
              </w:rPr>
              <w:t>联系方式</w:t>
            </w:r>
          </w:p>
        </w:tc>
      </w:tr>
      <w:tr w14:paraId="39B0DD68">
        <w:trPr>
          <w:trHeight w:val="300" w:hRule="atLeast"/>
        </w:trPr>
        <w:tc>
          <w:tcPr>
            <w:tcW w:w="2100" w:type="dxa"/>
            <w:tcMar>
              <w:left w:w="120" w:type="dxa"/>
            </w:tcMar>
            <w:vAlign w:val="center"/>
          </w:tcPr>
          <w:p w14:paraId="6037987D">
            <w:pPr>
              <w:spacing w:line="240" w:lineRule="auto"/>
              <w:rPr>
                <w:sz w:val="28"/>
                <w:szCs w:val="28"/>
              </w:rPr>
            </w:pPr>
            <w:r>
              <w:rPr>
                <w:rFonts w:ascii="方正黑体_GBK" w:hAnsi="方正黑体_GBK" w:eastAsia="方正黑体_GBK" w:cs="宋体"/>
                <w:sz w:val="20"/>
                <w:szCs w:val="24"/>
              </w:rPr>
              <w:t>南银理财有限责任公司</w:t>
            </w:r>
          </w:p>
        </w:tc>
        <w:tc>
          <w:tcPr>
            <w:tcW w:w="4050" w:type="dxa"/>
            <w:tcMar>
              <w:left w:w="120" w:type="dxa"/>
            </w:tcMar>
            <w:vAlign w:val="center"/>
          </w:tcPr>
          <w:p w14:paraId="23D6DFD9">
            <w:pPr>
              <w:spacing w:line="240" w:lineRule="auto"/>
              <w:rPr>
                <w:sz w:val="28"/>
                <w:szCs w:val="28"/>
              </w:rPr>
            </w:pPr>
            <w:r>
              <w:rPr>
                <w:rFonts w:ascii="方正黑体_GBK" w:hAnsi="方正黑体_GBK" w:eastAsia="方正黑体_GBK" w:cs="宋体"/>
                <w:sz w:val="20"/>
                <w:szCs w:val="24"/>
              </w:rPr>
              <w:t>江苏省南京市建邺区庐山路242号2号楼14-16层</w:t>
            </w:r>
          </w:p>
        </w:tc>
        <w:tc>
          <w:tcPr>
            <w:tcW w:w="1350" w:type="dxa"/>
            <w:tcMar>
              <w:left w:w="120" w:type="dxa"/>
            </w:tcMar>
            <w:vAlign w:val="center"/>
          </w:tcPr>
          <w:p w14:paraId="5C361E4C">
            <w:pPr>
              <w:spacing w:line="240" w:lineRule="auto"/>
              <w:rPr>
                <w:sz w:val="28"/>
                <w:szCs w:val="28"/>
              </w:rPr>
            </w:pPr>
            <w:r>
              <w:rPr>
                <w:rFonts w:ascii="方正黑体_GBK" w:hAnsi="方正黑体_GBK" w:eastAsia="方正黑体_GBK" w:cs="宋体"/>
                <w:sz w:val="20"/>
                <w:szCs w:val="24"/>
              </w:rPr>
              <w:t>4001195302</w:t>
            </w:r>
          </w:p>
        </w:tc>
      </w:tr>
      <w:tr w14:paraId="5B5993D4">
        <w:trPr>
          <w:trHeight w:val="300" w:hRule="atLeast"/>
        </w:trPr>
        <w:tc>
          <w:tcPr>
            <w:tcW w:w="2100" w:type="dxa"/>
            <w:tcMar>
              <w:left w:w="120" w:type="dxa"/>
            </w:tcMar>
            <w:vAlign w:val="center"/>
          </w:tcPr>
          <w:p w14:paraId="6152D0D2">
            <w:pPr>
              <w:spacing w:line="240" w:lineRule="auto"/>
              <w:rPr>
                <w:sz w:val="28"/>
                <w:szCs w:val="28"/>
              </w:rPr>
            </w:pPr>
            <w:r>
              <w:rPr>
                <w:rFonts w:ascii="方正黑体_GBK" w:hAnsi="方正黑体_GBK" w:eastAsia="方正黑体_GBK" w:cs="宋体"/>
                <w:sz w:val="20"/>
                <w:szCs w:val="24"/>
              </w:rPr>
              <w:t>南京银行股份有限公司</w:t>
            </w:r>
          </w:p>
        </w:tc>
        <w:tc>
          <w:tcPr>
            <w:tcW w:w="4050" w:type="dxa"/>
            <w:tcMar>
              <w:left w:w="120" w:type="dxa"/>
            </w:tcMar>
            <w:vAlign w:val="center"/>
          </w:tcPr>
          <w:p w14:paraId="6D92DEBA">
            <w:pPr>
              <w:spacing w:line="240" w:lineRule="auto"/>
              <w:rPr>
                <w:sz w:val="28"/>
                <w:szCs w:val="28"/>
              </w:rPr>
            </w:pPr>
            <w:r>
              <w:rPr>
                <w:rFonts w:ascii="方正黑体_GBK" w:hAnsi="方正黑体_GBK" w:eastAsia="方正黑体_GBK" w:cs="宋体"/>
                <w:sz w:val="20"/>
                <w:szCs w:val="24"/>
              </w:rPr>
              <w:t>南京市建邺区江山大街88号</w:t>
            </w:r>
          </w:p>
        </w:tc>
        <w:tc>
          <w:tcPr>
            <w:tcW w:w="1350" w:type="dxa"/>
            <w:tcMar>
              <w:left w:w="120" w:type="dxa"/>
            </w:tcMar>
            <w:vAlign w:val="center"/>
          </w:tcPr>
          <w:p w14:paraId="3339C36D">
            <w:pPr>
              <w:spacing w:line="240" w:lineRule="auto"/>
              <w:rPr>
                <w:sz w:val="28"/>
                <w:szCs w:val="28"/>
              </w:rPr>
            </w:pPr>
            <w:r>
              <w:rPr>
                <w:rFonts w:ascii="方正黑体_GBK" w:hAnsi="方正黑体_GBK" w:eastAsia="方正黑体_GBK" w:cs="宋体"/>
                <w:sz w:val="20"/>
                <w:szCs w:val="24"/>
              </w:rPr>
              <w:t>95302</w:t>
            </w:r>
          </w:p>
        </w:tc>
      </w:tr>
      <w:tr w14:paraId="71376E77">
        <w:trPr>
          <w:trHeight w:val="300" w:hRule="atLeast"/>
        </w:trPr>
        <w:tc>
          <w:tcPr>
            <w:tcW w:w="2100" w:type="dxa"/>
            <w:tcMar>
              <w:left w:w="120" w:type="dxa"/>
            </w:tcMar>
            <w:vAlign w:val="center"/>
          </w:tcPr>
          <w:p w14:paraId="39A6C216">
            <w:pPr>
              <w:spacing w:line="240" w:lineRule="auto"/>
              <w:rPr>
                <w:sz w:val="28"/>
                <w:szCs w:val="28"/>
              </w:rPr>
            </w:pPr>
            <w:r>
              <w:rPr>
                <w:rFonts w:ascii="方正黑体_GBK" w:hAnsi="方正黑体_GBK" w:eastAsia="方正黑体_GBK" w:cs="宋体"/>
                <w:sz w:val="20"/>
                <w:szCs w:val="24"/>
              </w:rPr>
              <w:t>江苏太仓农村商业银行股份有限公司</w:t>
            </w:r>
          </w:p>
        </w:tc>
        <w:tc>
          <w:tcPr>
            <w:tcW w:w="4050" w:type="dxa"/>
            <w:tcMar>
              <w:left w:w="120" w:type="dxa"/>
            </w:tcMar>
            <w:vAlign w:val="center"/>
          </w:tcPr>
          <w:p w14:paraId="79DC7C80">
            <w:pPr>
              <w:spacing w:line="240" w:lineRule="auto"/>
              <w:rPr>
                <w:sz w:val="28"/>
                <w:szCs w:val="28"/>
              </w:rPr>
            </w:pPr>
            <w:r>
              <w:rPr>
                <w:rFonts w:ascii="方正黑体_GBK" w:hAnsi="方正黑体_GBK" w:eastAsia="方正黑体_GBK" w:cs="宋体"/>
                <w:sz w:val="20"/>
                <w:szCs w:val="24"/>
              </w:rPr>
              <w:t>太仓市娄东街道上海东路198号</w:t>
            </w:r>
          </w:p>
        </w:tc>
        <w:tc>
          <w:tcPr>
            <w:tcW w:w="1350" w:type="dxa"/>
            <w:tcMar>
              <w:left w:w="120" w:type="dxa"/>
            </w:tcMar>
            <w:vAlign w:val="center"/>
          </w:tcPr>
          <w:p w14:paraId="1DE6C6EB">
            <w:pPr>
              <w:spacing w:line="240" w:lineRule="auto"/>
              <w:rPr>
                <w:sz w:val="28"/>
                <w:szCs w:val="28"/>
              </w:rPr>
            </w:pPr>
            <w:r>
              <w:rPr>
                <w:rFonts w:ascii="方正黑体_GBK" w:hAnsi="方正黑体_GBK" w:eastAsia="方正黑体_GBK" w:cs="宋体"/>
                <w:sz w:val="20"/>
                <w:szCs w:val="24"/>
              </w:rPr>
              <w:t>4001840060</w:t>
            </w:r>
          </w:p>
        </w:tc>
      </w:tr>
      <w:tr w14:paraId="60484332">
        <w:trPr>
          <w:trHeight w:val="300" w:hRule="atLeast"/>
        </w:trPr>
        <w:tc>
          <w:tcPr>
            <w:tcW w:w="2100" w:type="dxa"/>
            <w:tcMar>
              <w:left w:w="120" w:type="dxa"/>
            </w:tcMar>
            <w:vAlign w:val="center"/>
          </w:tcPr>
          <w:p w14:paraId="3080B4F5">
            <w:pPr>
              <w:spacing w:line="240" w:lineRule="auto"/>
              <w:rPr>
                <w:sz w:val="28"/>
                <w:szCs w:val="28"/>
              </w:rPr>
            </w:pPr>
            <w:r>
              <w:rPr>
                <w:rFonts w:ascii="方正黑体_GBK" w:hAnsi="方正黑体_GBK" w:eastAsia="方正黑体_GBK" w:cs="宋体"/>
                <w:sz w:val="20"/>
                <w:szCs w:val="24"/>
              </w:rPr>
              <w:t>青岛银行股份有限公司</w:t>
            </w:r>
          </w:p>
        </w:tc>
        <w:tc>
          <w:tcPr>
            <w:tcW w:w="4050" w:type="dxa"/>
            <w:tcMar>
              <w:left w:w="120" w:type="dxa"/>
            </w:tcMar>
            <w:vAlign w:val="center"/>
          </w:tcPr>
          <w:p w14:paraId="1C683F19">
            <w:pPr>
              <w:spacing w:line="240" w:lineRule="auto"/>
              <w:rPr>
                <w:sz w:val="28"/>
                <w:szCs w:val="28"/>
              </w:rPr>
            </w:pPr>
            <w:r>
              <w:rPr>
                <w:rFonts w:ascii="方正黑体_GBK" w:hAnsi="方正黑体_GBK" w:eastAsia="方正黑体_GBK" w:cs="宋体"/>
                <w:sz w:val="20"/>
                <w:szCs w:val="24"/>
              </w:rPr>
              <w:t>山东省青岛市崂山区秦岭路6号3号楼</w:t>
            </w:r>
          </w:p>
        </w:tc>
        <w:tc>
          <w:tcPr>
            <w:tcW w:w="1350" w:type="dxa"/>
            <w:tcMar>
              <w:left w:w="120" w:type="dxa"/>
            </w:tcMar>
            <w:vAlign w:val="center"/>
          </w:tcPr>
          <w:p w14:paraId="4D646E90">
            <w:pPr>
              <w:spacing w:line="240" w:lineRule="auto"/>
              <w:rPr>
                <w:sz w:val="28"/>
                <w:szCs w:val="28"/>
              </w:rPr>
            </w:pPr>
            <w:r>
              <w:rPr>
                <w:rFonts w:ascii="方正黑体_GBK" w:hAnsi="方正黑体_GBK" w:eastAsia="方正黑体_GBK" w:cs="宋体"/>
                <w:sz w:val="20"/>
                <w:szCs w:val="24"/>
              </w:rPr>
              <w:t>4006696588</w:t>
            </w:r>
          </w:p>
        </w:tc>
      </w:tr>
      <w:tr w14:paraId="11CFB53A">
        <w:trPr>
          <w:trHeight w:val="300" w:hRule="atLeast"/>
        </w:trPr>
        <w:tc>
          <w:tcPr>
            <w:tcW w:w="2100" w:type="dxa"/>
            <w:tcMar>
              <w:left w:w="120" w:type="dxa"/>
            </w:tcMar>
            <w:vAlign w:val="center"/>
          </w:tcPr>
          <w:p w14:paraId="4B097B4E">
            <w:pPr>
              <w:spacing w:line="240" w:lineRule="auto"/>
              <w:rPr>
                <w:sz w:val="28"/>
                <w:szCs w:val="28"/>
              </w:rPr>
            </w:pPr>
            <w:r>
              <w:rPr>
                <w:rFonts w:ascii="方正黑体_GBK" w:hAnsi="方正黑体_GBK" w:eastAsia="方正黑体_GBK" w:cs="宋体"/>
                <w:sz w:val="20"/>
                <w:szCs w:val="24"/>
              </w:rPr>
              <w:t>江苏苏州农村商业银行股份有限公司</w:t>
            </w:r>
          </w:p>
        </w:tc>
        <w:tc>
          <w:tcPr>
            <w:tcW w:w="4050" w:type="dxa"/>
            <w:tcMar>
              <w:left w:w="120" w:type="dxa"/>
            </w:tcMar>
            <w:vAlign w:val="center"/>
          </w:tcPr>
          <w:p w14:paraId="4EB78EDC">
            <w:pPr>
              <w:spacing w:line="240" w:lineRule="auto"/>
              <w:rPr>
                <w:sz w:val="28"/>
                <w:szCs w:val="28"/>
              </w:rPr>
            </w:pPr>
            <w:r>
              <w:rPr>
                <w:rFonts w:ascii="方正黑体_GBK" w:hAnsi="方正黑体_GBK" w:eastAsia="方正黑体_GBK" w:cs="宋体"/>
                <w:sz w:val="20"/>
                <w:szCs w:val="24"/>
              </w:rPr>
              <w:t>江苏省苏州市吴江区中山南路1777号</w:t>
            </w:r>
          </w:p>
        </w:tc>
        <w:tc>
          <w:tcPr>
            <w:tcW w:w="1350" w:type="dxa"/>
            <w:tcMar>
              <w:left w:w="120" w:type="dxa"/>
            </w:tcMar>
            <w:vAlign w:val="center"/>
          </w:tcPr>
          <w:p w14:paraId="24738FEB">
            <w:pPr>
              <w:spacing w:line="240" w:lineRule="auto"/>
              <w:rPr>
                <w:sz w:val="28"/>
                <w:szCs w:val="28"/>
              </w:rPr>
            </w:pPr>
            <w:r>
              <w:rPr>
                <w:rFonts w:ascii="方正黑体_GBK" w:hAnsi="方正黑体_GBK" w:eastAsia="方正黑体_GBK" w:cs="宋体"/>
                <w:sz w:val="20"/>
                <w:szCs w:val="24"/>
              </w:rPr>
              <w:t>956111</w:t>
            </w:r>
          </w:p>
        </w:tc>
      </w:tr>
      <w:tr w14:paraId="1566B530">
        <w:trPr>
          <w:trHeight w:val="300" w:hRule="atLeast"/>
        </w:trPr>
        <w:tc>
          <w:tcPr>
            <w:tcW w:w="2100" w:type="dxa"/>
            <w:tcMar>
              <w:left w:w="120" w:type="dxa"/>
            </w:tcMar>
            <w:vAlign w:val="center"/>
          </w:tcPr>
          <w:p w14:paraId="6535ADDD">
            <w:pPr>
              <w:spacing w:line="240" w:lineRule="auto"/>
              <w:rPr>
                <w:sz w:val="28"/>
                <w:szCs w:val="28"/>
              </w:rPr>
            </w:pPr>
            <w:r>
              <w:rPr>
                <w:rFonts w:ascii="方正黑体_GBK" w:hAnsi="方正黑体_GBK" w:eastAsia="方正黑体_GBK" w:cs="宋体"/>
                <w:sz w:val="20"/>
                <w:szCs w:val="24"/>
              </w:rPr>
              <w:t>福建海峡银行股份有限公司</w:t>
            </w:r>
          </w:p>
        </w:tc>
        <w:tc>
          <w:tcPr>
            <w:tcW w:w="4050" w:type="dxa"/>
            <w:tcMar>
              <w:left w:w="120" w:type="dxa"/>
            </w:tcMar>
            <w:vAlign w:val="center"/>
          </w:tcPr>
          <w:p w14:paraId="608F5931">
            <w:pPr>
              <w:spacing w:line="240" w:lineRule="auto"/>
              <w:rPr>
                <w:sz w:val="28"/>
                <w:szCs w:val="28"/>
              </w:rPr>
            </w:pPr>
            <w:r>
              <w:rPr>
                <w:rFonts w:ascii="方正黑体_GBK" w:hAnsi="方正黑体_GBK" w:eastAsia="方正黑体_GBK" w:cs="宋体"/>
                <w:sz w:val="20"/>
                <w:szCs w:val="24"/>
              </w:rPr>
              <w:t>福建省福州市台江区江滨中大道358号海峡银行大厦</w:t>
            </w:r>
          </w:p>
        </w:tc>
        <w:tc>
          <w:tcPr>
            <w:tcW w:w="1350" w:type="dxa"/>
            <w:tcMar>
              <w:left w:w="120" w:type="dxa"/>
            </w:tcMar>
            <w:vAlign w:val="center"/>
          </w:tcPr>
          <w:p w14:paraId="17B958C6">
            <w:pPr>
              <w:spacing w:line="240" w:lineRule="auto"/>
              <w:rPr>
                <w:sz w:val="28"/>
                <w:szCs w:val="28"/>
              </w:rPr>
            </w:pPr>
            <w:r>
              <w:rPr>
                <w:rFonts w:ascii="方正黑体_GBK" w:hAnsi="方正黑体_GBK" w:eastAsia="方正黑体_GBK" w:cs="宋体"/>
                <w:sz w:val="20"/>
                <w:szCs w:val="24"/>
              </w:rPr>
              <w:t>0591-4008939999</w:t>
            </w:r>
          </w:p>
        </w:tc>
      </w:tr>
      <w:tr w14:paraId="0EBA751C">
        <w:trPr>
          <w:trHeight w:val="300" w:hRule="atLeast"/>
        </w:trPr>
        <w:tc>
          <w:tcPr>
            <w:tcW w:w="2100" w:type="dxa"/>
            <w:tcMar>
              <w:left w:w="120" w:type="dxa"/>
            </w:tcMar>
            <w:vAlign w:val="center"/>
          </w:tcPr>
          <w:p w14:paraId="47BB75A9">
            <w:pPr>
              <w:spacing w:line="240" w:lineRule="auto"/>
              <w:rPr>
                <w:sz w:val="28"/>
                <w:szCs w:val="28"/>
              </w:rPr>
            </w:pPr>
            <w:r>
              <w:rPr>
                <w:rFonts w:ascii="方正黑体_GBK" w:hAnsi="方正黑体_GBK" w:eastAsia="方正黑体_GBK" w:cs="宋体"/>
                <w:sz w:val="20"/>
                <w:szCs w:val="24"/>
              </w:rPr>
              <w:t>秦皇岛银行股份有限公司</w:t>
            </w:r>
          </w:p>
        </w:tc>
        <w:tc>
          <w:tcPr>
            <w:tcW w:w="4050" w:type="dxa"/>
            <w:tcMar>
              <w:left w:w="120" w:type="dxa"/>
            </w:tcMar>
            <w:vAlign w:val="center"/>
          </w:tcPr>
          <w:p w14:paraId="37A72F2F">
            <w:pPr>
              <w:spacing w:line="240" w:lineRule="auto"/>
              <w:rPr>
                <w:sz w:val="28"/>
                <w:szCs w:val="28"/>
              </w:rPr>
            </w:pPr>
            <w:r>
              <w:rPr>
                <w:rFonts w:ascii="方正黑体_GBK" w:hAnsi="方正黑体_GBK" w:eastAsia="方正黑体_GBK" w:cs="宋体"/>
                <w:sz w:val="20"/>
                <w:szCs w:val="24"/>
              </w:rPr>
              <w:t>河北省秦皇岛市海港区河北大街西段 560 号</w:t>
            </w:r>
          </w:p>
        </w:tc>
        <w:tc>
          <w:tcPr>
            <w:tcW w:w="1350" w:type="dxa"/>
            <w:tcMar>
              <w:left w:w="120" w:type="dxa"/>
            </w:tcMar>
            <w:vAlign w:val="center"/>
          </w:tcPr>
          <w:p w14:paraId="6EB26425">
            <w:pPr>
              <w:spacing w:line="240" w:lineRule="auto"/>
              <w:rPr>
                <w:sz w:val="28"/>
                <w:szCs w:val="28"/>
              </w:rPr>
            </w:pPr>
            <w:r>
              <w:rPr>
                <w:rFonts w:ascii="方正黑体_GBK" w:hAnsi="方正黑体_GBK" w:eastAsia="方正黑体_GBK" w:cs="宋体"/>
                <w:sz w:val="20"/>
                <w:szCs w:val="24"/>
              </w:rPr>
              <w:t>0335-96336</w:t>
            </w:r>
          </w:p>
        </w:tc>
      </w:tr>
      <w:tr w14:paraId="675C25D7">
        <w:trPr>
          <w:trHeight w:val="300" w:hRule="atLeast"/>
        </w:trPr>
        <w:tc>
          <w:tcPr>
            <w:tcW w:w="2100" w:type="dxa"/>
            <w:tcMar>
              <w:left w:w="120" w:type="dxa"/>
            </w:tcMar>
            <w:vAlign w:val="center"/>
          </w:tcPr>
          <w:p w14:paraId="1DA512B4">
            <w:pPr>
              <w:spacing w:line="240" w:lineRule="auto"/>
              <w:rPr>
                <w:sz w:val="28"/>
                <w:szCs w:val="28"/>
              </w:rPr>
            </w:pPr>
            <w:r>
              <w:rPr>
                <w:rFonts w:ascii="方正黑体_GBK" w:hAnsi="方正黑体_GBK" w:eastAsia="方正黑体_GBK" w:cs="宋体"/>
                <w:sz w:val="20"/>
                <w:szCs w:val="24"/>
              </w:rPr>
              <w:t>泰安银行股份有限公司</w:t>
            </w:r>
          </w:p>
        </w:tc>
        <w:tc>
          <w:tcPr>
            <w:tcW w:w="4050" w:type="dxa"/>
            <w:tcMar>
              <w:left w:w="120" w:type="dxa"/>
            </w:tcMar>
            <w:vAlign w:val="center"/>
          </w:tcPr>
          <w:p w14:paraId="465AFB20">
            <w:pPr>
              <w:spacing w:line="240" w:lineRule="auto"/>
              <w:rPr>
                <w:sz w:val="28"/>
                <w:szCs w:val="28"/>
              </w:rPr>
            </w:pPr>
            <w:r>
              <w:rPr>
                <w:rFonts w:ascii="方正黑体_GBK" w:hAnsi="方正黑体_GBK" w:eastAsia="方正黑体_GBK" w:cs="宋体"/>
                <w:sz w:val="20"/>
                <w:szCs w:val="24"/>
              </w:rPr>
              <w:t>山东省泰安市长城路3号圣地大厦</w:t>
            </w:r>
          </w:p>
        </w:tc>
        <w:tc>
          <w:tcPr>
            <w:tcW w:w="1350" w:type="dxa"/>
            <w:tcMar>
              <w:left w:w="120" w:type="dxa"/>
            </w:tcMar>
            <w:vAlign w:val="center"/>
          </w:tcPr>
          <w:p w14:paraId="44905362">
            <w:pPr>
              <w:spacing w:line="240" w:lineRule="auto"/>
              <w:rPr>
                <w:sz w:val="28"/>
                <w:szCs w:val="28"/>
              </w:rPr>
            </w:pPr>
            <w:r>
              <w:rPr>
                <w:rFonts w:ascii="方正黑体_GBK" w:hAnsi="方正黑体_GBK" w:eastAsia="方正黑体_GBK" w:cs="宋体"/>
                <w:sz w:val="20"/>
                <w:szCs w:val="24"/>
              </w:rPr>
              <w:t>0538-96588</w:t>
            </w:r>
          </w:p>
        </w:tc>
      </w:tr>
      <w:tr w14:paraId="1F45F918">
        <w:trPr>
          <w:trHeight w:val="300" w:hRule="atLeast"/>
        </w:trPr>
        <w:tc>
          <w:tcPr>
            <w:tcW w:w="2100" w:type="dxa"/>
            <w:tcMar>
              <w:left w:w="120" w:type="dxa"/>
            </w:tcMar>
            <w:vAlign w:val="center"/>
          </w:tcPr>
          <w:p w14:paraId="4CA22B95">
            <w:pPr>
              <w:spacing w:line="240" w:lineRule="auto"/>
              <w:rPr>
                <w:sz w:val="28"/>
                <w:szCs w:val="28"/>
              </w:rPr>
            </w:pPr>
            <w:r>
              <w:rPr>
                <w:rFonts w:ascii="方正黑体_GBK" w:hAnsi="方正黑体_GBK" w:eastAsia="方正黑体_GBK" w:cs="宋体"/>
                <w:sz w:val="20"/>
                <w:szCs w:val="24"/>
              </w:rPr>
              <w:t>宁波东海银行股份有限公司</w:t>
            </w:r>
          </w:p>
        </w:tc>
        <w:tc>
          <w:tcPr>
            <w:tcW w:w="4050" w:type="dxa"/>
            <w:tcMar>
              <w:left w:w="120" w:type="dxa"/>
            </w:tcMar>
            <w:vAlign w:val="center"/>
          </w:tcPr>
          <w:p w14:paraId="1E66E7DA">
            <w:pPr>
              <w:spacing w:line="240" w:lineRule="auto"/>
              <w:rPr>
                <w:sz w:val="28"/>
                <w:szCs w:val="28"/>
              </w:rPr>
            </w:pPr>
            <w:r>
              <w:rPr>
                <w:rFonts w:ascii="方正黑体_GBK" w:hAnsi="方正黑体_GBK" w:eastAsia="方正黑体_GBK" w:cs="宋体"/>
                <w:sz w:val="20"/>
                <w:szCs w:val="24"/>
              </w:rPr>
              <w:t>浙江省宁波高新区新晖南路113-127号（单号），扬帆路515号2-10层，高新宝龙商业广场13-19号、22号、29号</w:t>
            </w:r>
          </w:p>
        </w:tc>
        <w:tc>
          <w:tcPr>
            <w:tcW w:w="1350" w:type="dxa"/>
            <w:tcMar>
              <w:left w:w="120" w:type="dxa"/>
            </w:tcMar>
            <w:vAlign w:val="center"/>
          </w:tcPr>
          <w:p w14:paraId="51F68305">
            <w:pPr>
              <w:spacing w:line="240" w:lineRule="auto"/>
              <w:rPr>
                <w:sz w:val="28"/>
                <w:szCs w:val="28"/>
              </w:rPr>
            </w:pPr>
            <w:r>
              <w:rPr>
                <w:rFonts w:ascii="方正黑体_GBK" w:hAnsi="方正黑体_GBK" w:eastAsia="方正黑体_GBK" w:cs="宋体"/>
                <w:sz w:val="20"/>
                <w:szCs w:val="24"/>
              </w:rPr>
              <w:t>400-8866-345</w:t>
            </w:r>
          </w:p>
        </w:tc>
      </w:tr>
      <w:tr w14:paraId="7BFF48B0">
        <w:trPr>
          <w:trHeight w:val="300" w:hRule="atLeast"/>
        </w:trPr>
        <w:tc>
          <w:tcPr>
            <w:tcW w:w="2100" w:type="dxa"/>
            <w:tcMar>
              <w:left w:w="120" w:type="dxa"/>
            </w:tcMar>
            <w:vAlign w:val="center"/>
          </w:tcPr>
          <w:p w14:paraId="01F29AC4">
            <w:pPr>
              <w:spacing w:line="240" w:lineRule="auto"/>
              <w:rPr>
                <w:sz w:val="28"/>
                <w:szCs w:val="28"/>
              </w:rPr>
            </w:pPr>
            <w:r>
              <w:rPr>
                <w:rFonts w:ascii="方正黑体_GBK" w:hAnsi="方正黑体_GBK" w:eastAsia="方正黑体_GBK" w:cs="宋体"/>
                <w:sz w:val="20"/>
                <w:szCs w:val="24"/>
              </w:rPr>
              <w:t>齐鲁银行股份有限公司</w:t>
            </w:r>
          </w:p>
        </w:tc>
        <w:tc>
          <w:tcPr>
            <w:tcW w:w="4050" w:type="dxa"/>
            <w:tcMar>
              <w:left w:w="120" w:type="dxa"/>
            </w:tcMar>
            <w:vAlign w:val="center"/>
          </w:tcPr>
          <w:p w14:paraId="67CEA739">
            <w:pPr>
              <w:spacing w:line="240" w:lineRule="auto"/>
              <w:rPr>
                <w:sz w:val="28"/>
                <w:szCs w:val="28"/>
              </w:rPr>
            </w:pPr>
            <w:r>
              <w:rPr>
                <w:rFonts w:ascii="方正黑体_GBK" w:hAnsi="方正黑体_GBK" w:eastAsia="方正黑体_GBK" w:cs="宋体"/>
                <w:sz w:val="20"/>
                <w:szCs w:val="24"/>
              </w:rPr>
              <w:t>山东省济南市历下区经十路10817号</w:t>
            </w:r>
          </w:p>
        </w:tc>
        <w:tc>
          <w:tcPr>
            <w:tcW w:w="1350" w:type="dxa"/>
            <w:tcMar>
              <w:left w:w="120" w:type="dxa"/>
            </w:tcMar>
            <w:vAlign w:val="center"/>
          </w:tcPr>
          <w:p w14:paraId="7922FF6F">
            <w:pPr>
              <w:spacing w:line="240" w:lineRule="auto"/>
              <w:rPr>
                <w:sz w:val="28"/>
                <w:szCs w:val="28"/>
              </w:rPr>
            </w:pPr>
            <w:r>
              <w:rPr>
                <w:rFonts w:ascii="方正黑体_GBK" w:hAnsi="方正黑体_GBK" w:eastAsia="方正黑体_GBK" w:cs="宋体"/>
                <w:sz w:val="20"/>
                <w:szCs w:val="24"/>
              </w:rPr>
              <w:t>4006096588</w:t>
            </w:r>
          </w:p>
        </w:tc>
      </w:tr>
      <w:tr w14:paraId="58BF51D3">
        <w:trPr>
          <w:trHeight w:val="300" w:hRule="atLeast"/>
        </w:trPr>
        <w:tc>
          <w:tcPr>
            <w:tcW w:w="2100" w:type="dxa"/>
            <w:tcMar>
              <w:left w:w="120" w:type="dxa"/>
            </w:tcMar>
            <w:vAlign w:val="center"/>
          </w:tcPr>
          <w:p w14:paraId="157664E5">
            <w:pPr>
              <w:spacing w:line="240" w:lineRule="auto"/>
              <w:rPr>
                <w:sz w:val="28"/>
                <w:szCs w:val="28"/>
              </w:rPr>
            </w:pPr>
            <w:r>
              <w:rPr>
                <w:rFonts w:ascii="方正黑体_GBK" w:hAnsi="方正黑体_GBK" w:eastAsia="方正黑体_GBK" w:cs="宋体"/>
                <w:sz w:val="20"/>
                <w:szCs w:val="24"/>
              </w:rPr>
              <w:t>贵阳银行股份有限公司</w:t>
            </w:r>
          </w:p>
        </w:tc>
        <w:tc>
          <w:tcPr>
            <w:tcW w:w="4050" w:type="dxa"/>
            <w:tcMar>
              <w:left w:w="120" w:type="dxa"/>
            </w:tcMar>
            <w:vAlign w:val="center"/>
          </w:tcPr>
          <w:p w14:paraId="508DEA25">
            <w:pPr>
              <w:spacing w:line="240" w:lineRule="auto"/>
              <w:rPr>
                <w:sz w:val="28"/>
                <w:szCs w:val="28"/>
              </w:rPr>
            </w:pPr>
            <w:r>
              <w:rPr>
                <w:rFonts w:ascii="方正黑体_GBK" w:hAnsi="方正黑体_GBK" w:eastAsia="方正黑体_GBK" w:cs="宋体"/>
                <w:sz w:val="20"/>
                <w:szCs w:val="24"/>
              </w:rPr>
              <w:t>贵州省贵阳市观山湖区长岭北路中天·会展城B区金融商务区东区1-6栋</w:t>
            </w:r>
          </w:p>
        </w:tc>
        <w:tc>
          <w:tcPr>
            <w:tcW w:w="1350" w:type="dxa"/>
            <w:tcMar>
              <w:left w:w="120" w:type="dxa"/>
            </w:tcMar>
            <w:vAlign w:val="center"/>
          </w:tcPr>
          <w:p w14:paraId="10753692">
            <w:pPr>
              <w:spacing w:line="240" w:lineRule="auto"/>
              <w:rPr>
                <w:sz w:val="28"/>
                <w:szCs w:val="28"/>
              </w:rPr>
            </w:pPr>
            <w:r>
              <w:rPr>
                <w:rFonts w:ascii="方正黑体_GBK" w:hAnsi="方正黑体_GBK" w:eastAsia="方正黑体_GBK" w:cs="宋体"/>
                <w:sz w:val="20"/>
                <w:szCs w:val="24"/>
              </w:rPr>
              <w:t>0851-86859053</w:t>
            </w:r>
          </w:p>
        </w:tc>
      </w:tr>
      <w:tr w14:paraId="2066DCC9">
        <w:trPr>
          <w:trHeight w:val="300" w:hRule="atLeast"/>
        </w:trPr>
        <w:tc>
          <w:tcPr>
            <w:tcW w:w="2100" w:type="dxa"/>
            <w:tcMar>
              <w:left w:w="120" w:type="dxa"/>
            </w:tcMar>
            <w:vAlign w:val="center"/>
          </w:tcPr>
          <w:p w14:paraId="043623F0">
            <w:pPr>
              <w:spacing w:line="240" w:lineRule="auto"/>
              <w:rPr>
                <w:sz w:val="28"/>
                <w:szCs w:val="28"/>
              </w:rPr>
            </w:pPr>
            <w:r>
              <w:rPr>
                <w:rFonts w:ascii="方正黑体_GBK" w:hAnsi="方正黑体_GBK" w:eastAsia="方正黑体_GBK" w:cs="宋体"/>
                <w:sz w:val="20"/>
                <w:szCs w:val="24"/>
              </w:rPr>
              <w:t>云南红塔银行股份有限公司</w:t>
            </w:r>
          </w:p>
        </w:tc>
        <w:tc>
          <w:tcPr>
            <w:tcW w:w="4050" w:type="dxa"/>
            <w:tcMar>
              <w:left w:w="120" w:type="dxa"/>
            </w:tcMar>
            <w:vAlign w:val="center"/>
          </w:tcPr>
          <w:p w14:paraId="048A52F3">
            <w:pPr>
              <w:spacing w:line="240" w:lineRule="auto"/>
              <w:rPr>
                <w:sz w:val="28"/>
                <w:szCs w:val="28"/>
              </w:rPr>
            </w:pPr>
            <w:r>
              <w:rPr>
                <w:rFonts w:ascii="方正黑体_GBK" w:hAnsi="方正黑体_GBK" w:eastAsia="方正黑体_GBK" w:cs="宋体"/>
                <w:sz w:val="20"/>
                <w:szCs w:val="24"/>
              </w:rPr>
              <w:t>云南省玉溪市东风南路2号</w:t>
            </w:r>
          </w:p>
        </w:tc>
        <w:tc>
          <w:tcPr>
            <w:tcW w:w="1350" w:type="dxa"/>
            <w:tcMar>
              <w:left w:w="120" w:type="dxa"/>
            </w:tcMar>
            <w:vAlign w:val="center"/>
          </w:tcPr>
          <w:p w14:paraId="7F5792C6">
            <w:pPr>
              <w:spacing w:line="240" w:lineRule="auto"/>
              <w:rPr>
                <w:sz w:val="28"/>
                <w:szCs w:val="28"/>
              </w:rPr>
            </w:pPr>
            <w:r>
              <w:rPr>
                <w:rFonts w:ascii="方正黑体_GBK" w:hAnsi="方正黑体_GBK" w:eastAsia="方正黑体_GBK" w:cs="宋体"/>
                <w:sz w:val="20"/>
                <w:szCs w:val="24"/>
              </w:rPr>
              <w:t>96522</w:t>
            </w:r>
          </w:p>
        </w:tc>
      </w:tr>
      <w:tr w14:paraId="2F2C1C45">
        <w:trPr>
          <w:trHeight w:val="300" w:hRule="atLeast"/>
        </w:trPr>
        <w:tc>
          <w:tcPr>
            <w:tcW w:w="2100" w:type="dxa"/>
            <w:tcMar>
              <w:left w:w="120" w:type="dxa"/>
            </w:tcMar>
            <w:vAlign w:val="center"/>
          </w:tcPr>
          <w:p w14:paraId="6474D29B">
            <w:pPr>
              <w:spacing w:line="240" w:lineRule="auto"/>
              <w:rPr>
                <w:sz w:val="28"/>
                <w:szCs w:val="28"/>
              </w:rPr>
            </w:pPr>
            <w:r>
              <w:rPr>
                <w:rFonts w:ascii="方正黑体_GBK" w:hAnsi="方正黑体_GBK" w:eastAsia="方正黑体_GBK" w:cs="宋体"/>
                <w:sz w:val="20"/>
                <w:szCs w:val="24"/>
              </w:rPr>
              <w:t>天津农村商业银行股份有限公司</w:t>
            </w:r>
          </w:p>
        </w:tc>
        <w:tc>
          <w:tcPr>
            <w:tcW w:w="4050" w:type="dxa"/>
            <w:tcMar>
              <w:left w:w="120" w:type="dxa"/>
            </w:tcMar>
            <w:vAlign w:val="center"/>
          </w:tcPr>
          <w:p w14:paraId="06A6FD7E">
            <w:pPr>
              <w:spacing w:line="240" w:lineRule="auto"/>
              <w:rPr>
                <w:sz w:val="28"/>
                <w:szCs w:val="28"/>
              </w:rPr>
            </w:pPr>
            <w:r>
              <w:rPr>
                <w:rFonts w:ascii="方正黑体_GBK" w:hAnsi="方正黑体_GBK" w:eastAsia="方正黑体_GBK" w:cs="宋体"/>
                <w:sz w:val="20"/>
                <w:szCs w:val="24"/>
              </w:rPr>
              <w:t>天津市河西区友谊路32号</w:t>
            </w:r>
          </w:p>
        </w:tc>
        <w:tc>
          <w:tcPr>
            <w:tcW w:w="1350" w:type="dxa"/>
            <w:tcMar>
              <w:left w:w="120" w:type="dxa"/>
            </w:tcMar>
            <w:vAlign w:val="center"/>
          </w:tcPr>
          <w:p w14:paraId="675F057B">
            <w:pPr>
              <w:spacing w:line="240" w:lineRule="auto"/>
              <w:rPr>
                <w:sz w:val="28"/>
                <w:szCs w:val="28"/>
              </w:rPr>
            </w:pPr>
            <w:r>
              <w:rPr>
                <w:rFonts w:ascii="方正黑体_GBK" w:hAnsi="方正黑体_GBK" w:eastAsia="方正黑体_GBK" w:cs="宋体"/>
                <w:sz w:val="20"/>
                <w:szCs w:val="24"/>
              </w:rPr>
              <w:t>022-96155、400-80-96155</w:t>
            </w:r>
          </w:p>
        </w:tc>
      </w:tr>
      <w:tr w14:paraId="6B73EACA">
        <w:trPr>
          <w:trHeight w:val="300" w:hRule="atLeast"/>
        </w:trPr>
        <w:tc>
          <w:tcPr>
            <w:tcW w:w="2100" w:type="dxa"/>
            <w:tcMar>
              <w:left w:w="120" w:type="dxa"/>
            </w:tcMar>
            <w:vAlign w:val="center"/>
          </w:tcPr>
          <w:p w14:paraId="779FF850">
            <w:pPr>
              <w:spacing w:line="240" w:lineRule="auto"/>
              <w:rPr>
                <w:sz w:val="28"/>
                <w:szCs w:val="28"/>
              </w:rPr>
            </w:pPr>
            <w:r>
              <w:rPr>
                <w:rFonts w:ascii="方正黑体_GBK" w:hAnsi="方正黑体_GBK" w:eastAsia="方正黑体_GBK" w:cs="宋体"/>
                <w:sz w:val="20"/>
                <w:szCs w:val="24"/>
              </w:rPr>
              <w:t>江苏紫金农村商业银行股份有限公司</w:t>
            </w:r>
          </w:p>
        </w:tc>
        <w:tc>
          <w:tcPr>
            <w:tcW w:w="4050" w:type="dxa"/>
            <w:tcMar>
              <w:left w:w="120" w:type="dxa"/>
            </w:tcMar>
            <w:vAlign w:val="center"/>
          </w:tcPr>
          <w:p w14:paraId="1FA7F35C">
            <w:pPr>
              <w:spacing w:line="240" w:lineRule="auto"/>
              <w:rPr>
                <w:sz w:val="28"/>
                <w:szCs w:val="28"/>
              </w:rPr>
            </w:pPr>
            <w:r>
              <w:rPr>
                <w:rFonts w:ascii="方正黑体_GBK" w:hAnsi="方正黑体_GBK" w:eastAsia="方正黑体_GBK" w:cs="宋体"/>
                <w:sz w:val="20"/>
                <w:szCs w:val="24"/>
              </w:rPr>
              <w:t>南京市建邺区江东中路381号</w:t>
            </w:r>
          </w:p>
        </w:tc>
        <w:tc>
          <w:tcPr>
            <w:tcW w:w="1350" w:type="dxa"/>
            <w:tcMar>
              <w:left w:w="120" w:type="dxa"/>
            </w:tcMar>
            <w:vAlign w:val="center"/>
          </w:tcPr>
          <w:p w14:paraId="44CD7D81">
            <w:pPr>
              <w:spacing w:line="240" w:lineRule="auto"/>
              <w:rPr>
                <w:sz w:val="28"/>
                <w:szCs w:val="28"/>
              </w:rPr>
            </w:pPr>
            <w:r>
              <w:rPr>
                <w:rFonts w:ascii="方正黑体_GBK" w:hAnsi="方正黑体_GBK" w:eastAsia="方正黑体_GBK" w:cs="宋体"/>
                <w:sz w:val="20"/>
                <w:szCs w:val="24"/>
              </w:rPr>
              <w:t>96008</w:t>
            </w:r>
          </w:p>
        </w:tc>
      </w:tr>
      <w:tr w14:paraId="3FC8162C">
        <w:trPr>
          <w:trHeight w:val="300" w:hRule="atLeast"/>
        </w:trPr>
        <w:tc>
          <w:tcPr>
            <w:tcW w:w="2100" w:type="dxa"/>
            <w:tcMar>
              <w:left w:w="120" w:type="dxa"/>
            </w:tcMar>
            <w:vAlign w:val="center"/>
          </w:tcPr>
          <w:p w14:paraId="2FDCB62A">
            <w:pPr>
              <w:spacing w:line="240" w:lineRule="auto"/>
              <w:rPr>
                <w:sz w:val="28"/>
                <w:szCs w:val="28"/>
              </w:rPr>
            </w:pPr>
            <w:r>
              <w:rPr>
                <w:rFonts w:ascii="方正黑体_GBK" w:hAnsi="方正黑体_GBK" w:eastAsia="方正黑体_GBK" w:cs="宋体"/>
                <w:sz w:val="20"/>
                <w:szCs w:val="24"/>
              </w:rPr>
              <w:t>温州银行股份有限公司</w:t>
            </w:r>
          </w:p>
        </w:tc>
        <w:tc>
          <w:tcPr>
            <w:tcW w:w="4050" w:type="dxa"/>
            <w:tcMar>
              <w:left w:w="120" w:type="dxa"/>
            </w:tcMar>
            <w:vAlign w:val="center"/>
          </w:tcPr>
          <w:p w14:paraId="5006223A">
            <w:pPr>
              <w:spacing w:line="240" w:lineRule="auto"/>
              <w:rPr>
                <w:sz w:val="28"/>
                <w:szCs w:val="28"/>
              </w:rPr>
            </w:pPr>
            <w:r>
              <w:rPr>
                <w:rFonts w:ascii="方正黑体_GBK" w:hAnsi="方正黑体_GBK" w:eastAsia="方正黑体_GBK" w:cs="宋体"/>
                <w:sz w:val="20"/>
                <w:szCs w:val="24"/>
              </w:rPr>
              <w:t>浙江省温州市鹿城区会展路1316号</w:t>
            </w:r>
          </w:p>
        </w:tc>
        <w:tc>
          <w:tcPr>
            <w:tcW w:w="1350" w:type="dxa"/>
            <w:tcMar>
              <w:left w:w="120" w:type="dxa"/>
            </w:tcMar>
            <w:vAlign w:val="center"/>
          </w:tcPr>
          <w:p w14:paraId="12137845">
            <w:pPr>
              <w:spacing w:line="240" w:lineRule="auto"/>
              <w:rPr>
                <w:sz w:val="28"/>
                <w:szCs w:val="28"/>
              </w:rPr>
            </w:pPr>
            <w:r>
              <w:rPr>
                <w:rFonts w:ascii="方正黑体_GBK" w:hAnsi="方正黑体_GBK" w:eastAsia="方正黑体_GBK" w:cs="宋体"/>
                <w:sz w:val="20"/>
                <w:szCs w:val="24"/>
              </w:rPr>
              <w:t>96699</w:t>
            </w:r>
          </w:p>
        </w:tc>
      </w:tr>
      <w:tr w14:paraId="1E3A73F7">
        <w:trPr>
          <w:trHeight w:val="300" w:hRule="atLeast"/>
        </w:trPr>
        <w:tc>
          <w:tcPr>
            <w:tcW w:w="2100" w:type="dxa"/>
            <w:tcMar>
              <w:left w:w="120" w:type="dxa"/>
            </w:tcMar>
            <w:vAlign w:val="center"/>
          </w:tcPr>
          <w:p w14:paraId="57F05CBF">
            <w:pPr>
              <w:spacing w:line="240" w:lineRule="auto"/>
              <w:rPr>
                <w:sz w:val="28"/>
                <w:szCs w:val="28"/>
              </w:rPr>
            </w:pPr>
            <w:r>
              <w:rPr>
                <w:rFonts w:ascii="方正黑体_GBK" w:hAnsi="方正黑体_GBK" w:eastAsia="方正黑体_GBK" w:cs="宋体"/>
                <w:sz w:val="20"/>
                <w:szCs w:val="24"/>
              </w:rPr>
              <w:t>江苏滨海农村商业银行股份有限公司</w:t>
            </w:r>
          </w:p>
        </w:tc>
        <w:tc>
          <w:tcPr>
            <w:tcW w:w="4050" w:type="dxa"/>
            <w:tcMar>
              <w:left w:w="120" w:type="dxa"/>
            </w:tcMar>
            <w:vAlign w:val="center"/>
          </w:tcPr>
          <w:p w14:paraId="090468D0">
            <w:pPr>
              <w:spacing w:line="240" w:lineRule="auto"/>
              <w:rPr>
                <w:sz w:val="28"/>
                <w:szCs w:val="28"/>
              </w:rPr>
            </w:pPr>
            <w:r>
              <w:rPr>
                <w:rFonts w:ascii="方正黑体_GBK" w:hAnsi="方正黑体_GBK" w:eastAsia="方正黑体_GBK" w:cs="宋体"/>
                <w:sz w:val="20"/>
                <w:szCs w:val="24"/>
              </w:rPr>
              <w:t>滨海县城迎宾中路1号</w:t>
            </w:r>
          </w:p>
        </w:tc>
        <w:tc>
          <w:tcPr>
            <w:tcW w:w="1350" w:type="dxa"/>
            <w:tcMar>
              <w:left w:w="120" w:type="dxa"/>
            </w:tcMar>
            <w:vAlign w:val="center"/>
          </w:tcPr>
          <w:p w14:paraId="22050624">
            <w:pPr>
              <w:spacing w:line="240" w:lineRule="auto"/>
              <w:rPr>
                <w:sz w:val="28"/>
                <w:szCs w:val="28"/>
              </w:rPr>
            </w:pPr>
            <w:r>
              <w:rPr>
                <w:rFonts w:ascii="方正黑体_GBK" w:hAnsi="方正黑体_GBK" w:eastAsia="方正黑体_GBK" w:cs="宋体"/>
                <w:sz w:val="20"/>
                <w:szCs w:val="24"/>
              </w:rPr>
              <w:t>96008</w:t>
            </w:r>
          </w:p>
        </w:tc>
      </w:tr>
      <w:tr w14:paraId="0FEB0DAC">
        <w:trPr>
          <w:trHeight w:val="300" w:hRule="atLeast"/>
        </w:trPr>
        <w:tc>
          <w:tcPr>
            <w:tcW w:w="2100" w:type="dxa"/>
            <w:tcMar>
              <w:left w:w="120" w:type="dxa"/>
            </w:tcMar>
            <w:vAlign w:val="center"/>
          </w:tcPr>
          <w:p w14:paraId="4D2C8A95">
            <w:pPr>
              <w:spacing w:line="240" w:lineRule="auto"/>
              <w:rPr>
                <w:sz w:val="28"/>
                <w:szCs w:val="28"/>
              </w:rPr>
            </w:pPr>
            <w:r>
              <w:rPr>
                <w:rFonts w:ascii="方正黑体_GBK" w:hAnsi="方正黑体_GBK" w:eastAsia="方正黑体_GBK" w:cs="宋体"/>
                <w:sz w:val="20"/>
                <w:szCs w:val="24"/>
              </w:rPr>
              <w:t>江苏金湖农村商业银行股份有限公司</w:t>
            </w:r>
          </w:p>
        </w:tc>
        <w:tc>
          <w:tcPr>
            <w:tcW w:w="4050" w:type="dxa"/>
            <w:tcMar>
              <w:left w:w="120" w:type="dxa"/>
            </w:tcMar>
            <w:vAlign w:val="center"/>
          </w:tcPr>
          <w:p w14:paraId="283846C0">
            <w:pPr>
              <w:spacing w:line="240" w:lineRule="auto"/>
              <w:rPr>
                <w:sz w:val="28"/>
                <w:szCs w:val="28"/>
              </w:rPr>
            </w:pPr>
            <w:r>
              <w:rPr>
                <w:rFonts w:ascii="方正黑体_GBK" w:hAnsi="方正黑体_GBK" w:eastAsia="方正黑体_GBK" w:cs="宋体"/>
                <w:sz w:val="20"/>
                <w:szCs w:val="24"/>
              </w:rPr>
              <w:t>江苏省金湖县黎城街道神华大道299号</w:t>
            </w:r>
          </w:p>
        </w:tc>
        <w:tc>
          <w:tcPr>
            <w:tcW w:w="1350" w:type="dxa"/>
            <w:tcMar>
              <w:left w:w="120" w:type="dxa"/>
            </w:tcMar>
            <w:vAlign w:val="center"/>
          </w:tcPr>
          <w:p w14:paraId="6C67EFDA">
            <w:pPr>
              <w:spacing w:line="240" w:lineRule="auto"/>
              <w:rPr>
                <w:sz w:val="28"/>
                <w:szCs w:val="28"/>
              </w:rPr>
            </w:pPr>
            <w:r>
              <w:rPr>
                <w:rFonts w:ascii="方正黑体_GBK" w:hAnsi="方正黑体_GBK" w:eastAsia="方正黑体_GBK" w:cs="宋体"/>
                <w:sz w:val="20"/>
                <w:szCs w:val="24"/>
              </w:rPr>
              <w:t>96008</w:t>
            </w:r>
          </w:p>
        </w:tc>
      </w:tr>
      <w:tr w14:paraId="6C987839">
        <w:trPr>
          <w:trHeight w:val="300" w:hRule="atLeast"/>
        </w:trPr>
        <w:tc>
          <w:tcPr>
            <w:tcW w:w="2100" w:type="dxa"/>
            <w:tcMar>
              <w:left w:w="120" w:type="dxa"/>
            </w:tcMar>
            <w:vAlign w:val="center"/>
          </w:tcPr>
          <w:p w14:paraId="40CA760F">
            <w:pPr>
              <w:spacing w:line="240" w:lineRule="auto"/>
              <w:rPr>
                <w:sz w:val="28"/>
                <w:szCs w:val="28"/>
              </w:rPr>
            </w:pPr>
            <w:r>
              <w:rPr>
                <w:rFonts w:ascii="方正黑体_GBK" w:hAnsi="方正黑体_GBK" w:eastAsia="方正黑体_GBK" w:cs="宋体"/>
                <w:sz w:val="20"/>
                <w:szCs w:val="24"/>
              </w:rPr>
              <w:t>苏州银行股份有限公司</w:t>
            </w:r>
          </w:p>
        </w:tc>
        <w:tc>
          <w:tcPr>
            <w:tcW w:w="4050" w:type="dxa"/>
            <w:tcMar>
              <w:left w:w="120" w:type="dxa"/>
            </w:tcMar>
            <w:vAlign w:val="center"/>
          </w:tcPr>
          <w:p w14:paraId="52F483F9">
            <w:pPr>
              <w:spacing w:line="240" w:lineRule="auto"/>
              <w:rPr>
                <w:sz w:val="28"/>
                <w:szCs w:val="28"/>
              </w:rPr>
            </w:pPr>
            <w:r>
              <w:rPr>
                <w:rFonts w:ascii="方正黑体_GBK" w:hAnsi="方正黑体_GBK" w:eastAsia="方正黑体_GBK" w:cs="宋体"/>
                <w:sz w:val="20"/>
                <w:szCs w:val="24"/>
              </w:rPr>
              <w:t>中国（江苏）自由贸易试验区苏州片区苏州工业园区钟园路728号</w:t>
            </w:r>
          </w:p>
        </w:tc>
        <w:tc>
          <w:tcPr>
            <w:tcW w:w="1350" w:type="dxa"/>
            <w:tcMar>
              <w:left w:w="120" w:type="dxa"/>
            </w:tcMar>
            <w:vAlign w:val="center"/>
          </w:tcPr>
          <w:p w14:paraId="512CC852">
            <w:pPr>
              <w:spacing w:line="240" w:lineRule="auto"/>
              <w:rPr>
                <w:sz w:val="28"/>
                <w:szCs w:val="28"/>
              </w:rPr>
            </w:pPr>
            <w:r>
              <w:rPr>
                <w:rFonts w:ascii="方正黑体_GBK" w:hAnsi="方正黑体_GBK" w:eastAsia="方正黑体_GBK" w:cs="宋体"/>
                <w:sz w:val="20"/>
                <w:szCs w:val="24"/>
              </w:rPr>
              <w:t>0512-96067</w:t>
            </w:r>
          </w:p>
        </w:tc>
      </w:tr>
      <w:tr w14:paraId="5F556DD0">
        <w:trPr>
          <w:trHeight w:val="300" w:hRule="atLeast"/>
        </w:trPr>
        <w:tc>
          <w:tcPr>
            <w:tcW w:w="2100" w:type="dxa"/>
            <w:tcMar>
              <w:left w:w="120" w:type="dxa"/>
            </w:tcMar>
            <w:vAlign w:val="center"/>
          </w:tcPr>
          <w:p w14:paraId="15BDEE6B">
            <w:pPr>
              <w:spacing w:line="240" w:lineRule="auto"/>
              <w:rPr>
                <w:sz w:val="28"/>
                <w:szCs w:val="28"/>
              </w:rPr>
            </w:pPr>
            <w:r>
              <w:rPr>
                <w:rFonts w:ascii="方正黑体_GBK" w:hAnsi="方正黑体_GBK" w:eastAsia="方正黑体_GBK" w:cs="宋体"/>
                <w:sz w:val="20"/>
                <w:szCs w:val="24"/>
              </w:rPr>
              <w:t>蒙商银行股份有限公司</w:t>
            </w:r>
          </w:p>
        </w:tc>
        <w:tc>
          <w:tcPr>
            <w:tcW w:w="4050" w:type="dxa"/>
            <w:tcMar>
              <w:left w:w="120" w:type="dxa"/>
            </w:tcMar>
            <w:vAlign w:val="center"/>
          </w:tcPr>
          <w:p w14:paraId="4E7BE52D">
            <w:pPr>
              <w:spacing w:line="240" w:lineRule="auto"/>
              <w:rPr>
                <w:sz w:val="28"/>
                <w:szCs w:val="28"/>
              </w:rPr>
            </w:pPr>
            <w:r>
              <w:rPr>
                <w:rFonts w:ascii="方正黑体_GBK" w:hAnsi="方正黑体_GBK" w:eastAsia="方正黑体_GBK" w:cs="宋体"/>
                <w:sz w:val="20"/>
                <w:szCs w:val="24"/>
              </w:rPr>
              <w:t>内蒙古自治区包头市九原区赛汗街道办事处建华南路2号A座</w:t>
            </w:r>
          </w:p>
        </w:tc>
        <w:tc>
          <w:tcPr>
            <w:tcW w:w="1350" w:type="dxa"/>
            <w:tcMar>
              <w:left w:w="120" w:type="dxa"/>
            </w:tcMar>
            <w:vAlign w:val="center"/>
          </w:tcPr>
          <w:p w14:paraId="094DAF33">
            <w:pPr>
              <w:spacing w:line="240" w:lineRule="auto"/>
              <w:rPr>
                <w:sz w:val="28"/>
                <w:szCs w:val="28"/>
              </w:rPr>
            </w:pPr>
            <w:r>
              <w:rPr>
                <w:rFonts w:ascii="方正黑体_GBK" w:hAnsi="方正黑体_GBK" w:eastAsia="方正黑体_GBK" w:cs="宋体"/>
                <w:sz w:val="20"/>
                <w:szCs w:val="24"/>
              </w:rPr>
              <w:t>0472-2658888</w:t>
            </w:r>
          </w:p>
        </w:tc>
      </w:tr>
      <w:tr w14:paraId="0CAB2EE3">
        <w:trPr>
          <w:trHeight w:val="300" w:hRule="atLeast"/>
        </w:trPr>
        <w:tc>
          <w:tcPr>
            <w:tcW w:w="2100" w:type="dxa"/>
            <w:tcMar>
              <w:left w:w="120" w:type="dxa"/>
            </w:tcMar>
            <w:vAlign w:val="center"/>
          </w:tcPr>
          <w:p w14:paraId="2B1968B1">
            <w:pPr>
              <w:spacing w:line="240" w:lineRule="auto"/>
              <w:rPr>
                <w:sz w:val="28"/>
                <w:szCs w:val="28"/>
              </w:rPr>
            </w:pPr>
            <w:r>
              <w:rPr>
                <w:rFonts w:ascii="方正黑体_GBK" w:hAnsi="方正黑体_GBK" w:eastAsia="方正黑体_GBK" w:cs="宋体"/>
                <w:sz w:val="20"/>
                <w:szCs w:val="24"/>
              </w:rPr>
              <w:t>江苏江南农村商业银行股份有限公司</w:t>
            </w:r>
          </w:p>
        </w:tc>
        <w:tc>
          <w:tcPr>
            <w:tcW w:w="4050" w:type="dxa"/>
            <w:tcMar>
              <w:left w:w="120" w:type="dxa"/>
            </w:tcMar>
            <w:vAlign w:val="center"/>
          </w:tcPr>
          <w:p w14:paraId="0B63E083">
            <w:pPr>
              <w:spacing w:line="240" w:lineRule="auto"/>
              <w:rPr>
                <w:sz w:val="28"/>
                <w:szCs w:val="28"/>
              </w:rPr>
            </w:pPr>
            <w:r>
              <w:rPr>
                <w:rFonts w:ascii="方正黑体_GBK" w:hAnsi="方正黑体_GBK" w:eastAsia="方正黑体_GBK" w:cs="宋体"/>
                <w:sz w:val="20"/>
                <w:szCs w:val="24"/>
              </w:rPr>
              <w:t>常州市武进区延政中路9号</w:t>
            </w:r>
          </w:p>
        </w:tc>
        <w:tc>
          <w:tcPr>
            <w:tcW w:w="1350" w:type="dxa"/>
            <w:tcMar>
              <w:left w:w="120" w:type="dxa"/>
            </w:tcMar>
            <w:vAlign w:val="center"/>
          </w:tcPr>
          <w:p w14:paraId="4E0F68AF">
            <w:pPr>
              <w:spacing w:line="240" w:lineRule="auto"/>
              <w:rPr>
                <w:sz w:val="28"/>
                <w:szCs w:val="28"/>
              </w:rPr>
            </w:pPr>
            <w:r>
              <w:rPr>
                <w:rFonts w:ascii="方正黑体_GBK" w:hAnsi="方正黑体_GBK" w:eastAsia="方正黑体_GBK" w:cs="宋体"/>
                <w:sz w:val="20"/>
                <w:szCs w:val="24"/>
              </w:rPr>
              <w:t>0519-96005</w:t>
            </w:r>
          </w:p>
        </w:tc>
      </w:tr>
      <w:tr w14:paraId="796E0B27">
        <w:trPr>
          <w:trHeight w:val="300" w:hRule="atLeast"/>
        </w:trPr>
        <w:tc>
          <w:tcPr>
            <w:tcW w:w="2100" w:type="dxa"/>
            <w:tcMar>
              <w:left w:w="120" w:type="dxa"/>
            </w:tcMar>
            <w:vAlign w:val="center"/>
          </w:tcPr>
          <w:p w14:paraId="17461B82">
            <w:pPr>
              <w:spacing w:line="240" w:lineRule="auto"/>
              <w:rPr>
                <w:sz w:val="28"/>
                <w:szCs w:val="28"/>
              </w:rPr>
            </w:pPr>
            <w:r>
              <w:rPr>
                <w:rFonts w:ascii="方正黑体_GBK" w:hAnsi="方正黑体_GBK" w:eastAsia="方正黑体_GBK" w:cs="宋体"/>
                <w:sz w:val="20"/>
                <w:szCs w:val="24"/>
              </w:rPr>
              <w:t>桂林银行股份有限公司</w:t>
            </w:r>
          </w:p>
        </w:tc>
        <w:tc>
          <w:tcPr>
            <w:tcW w:w="4050" w:type="dxa"/>
            <w:tcMar>
              <w:left w:w="120" w:type="dxa"/>
            </w:tcMar>
            <w:vAlign w:val="center"/>
          </w:tcPr>
          <w:p w14:paraId="0ADD65CC">
            <w:pPr>
              <w:spacing w:line="240" w:lineRule="auto"/>
              <w:rPr>
                <w:sz w:val="28"/>
                <w:szCs w:val="28"/>
              </w:rPr>
            </w:pPr>
            <w:r>
              <w:rPr>
                <w:rFonts w:ascii="方正黑体_GBK" w:hAnsi="方正黑体_GBK" w:eastAsia="方正黑体_GBK" w:cs="宋体"/>
                <w:sz w:val="20"/>
                <w:szCs w:val="24"/>
              </w:rPr>
              <w:t>广西壮族自治区桂林市临桂区公园北路 8 号桂林金融大厦</w:t>
            </w:r>
          </w:p>
        </w:tc>
        <w:tc>
          <w:tcPr>
            <w:tcW w:w="1350" w:type="dxa"/>
            <w:tcMar>
              <w:left w:w="120" w:type="dxa"/>
            </w:tcMar>
            <w:vAlign w:val="center"/>
          </w:tcPr>
          <w:p w14:paraId="445FDC0C">
            <w:pPr>
              <w:spacing w:line="240" w:lineRule="auto"/>
              <w:rPr>
                <w:sz w:val="28"/>
                <w:szCs w:val="28"/>
              </w:rPr>
            </w:pPr>
            <w:r>
              <w:rPr>
                <w:rFonts w:ascii="方正黑体_GBK" w:hAnsi="方正黑体_GBK" w:eastAsia="方正黑体_GBK" w:cs="宋体"/>
                <w:sz w:val="20"/>
                <w:szCs w:val="24"/>
              </w:rPr>
              <w:t>400-86-96299</w:t>
            </w:r>
          </w:p>
        </w:tc>
      </w:tr>
      <w:tr w14:paraId="197220B5">
        <w:trPr>
          <w:trHeight w:val="300" w:hRule="atLeast"/>
        </w:trPr>
        <w:tc>
          <w:tcPr>
            <w:tcW w:w="2100" w:type="dxa"/>
            <w:tcMar>
              <w:left w:w="120" w:type="dxa"/>
            </w:tcMar>
            <w:vAlign w:val="center"/>
          </w:tcPr>
          <w:p w14:paraId="63570999">
            <w:pPr>
              <w:spacing w:line="240" w:lineRule="auto"/>
              <w:rPr>
                <w:sz w:val="28"/>
                <w:szCs w:val="28"/>
              </w:rPr>
            </w:pPr>
            <w:r>
              <w:rPr>
                <w:rFonts w:ascii="方正黑体_GBK" w:hAnsi="方正黑体_GBK" w:eastAsia="方正黑体_GBK" w:cs="宋体"/>
                <w:sz w:val="20"/>
                <w:szCs w:val="24"/>
              </w:rPr>
              <w:t>富邦华一银行有限公司</w:t>
            </w:r>
          </w:p>
        </w:tc>
        <w:tc>
          <w:tcPr>
            <w:tcW w:w="4050" w:type="dxa"/>
            <w:tcMar>
              <w:left w:w="120" w:type="dxa"/>
            </w:tcMar>
            <w:vAlign w:val="center"/>
          </w:tcPr>
          <w:p w14:paraId="2869A1D3">
            <w:pPr>
              <w:spacing w:line="240" w:lineRule="auto"/>
              <w:rPr>
                <w:sz w:val="28"/>
                <w:szCs w:val="28"/>
              </w:rPr>
            </w:pPr>
            <w:r>
              <w:rPr>
                <w:rFonts w:ascii="方正黑体_GBK" w:hAnsi="方正黑体_GBK" w:eastAsia="方正黑体_GBK" w:cs="宋体"/>
                <w:sz w:val="20"/>
                <w:szCs w:val="24"/>
              </w:rPr>
              <w:t>中国（上海）自由贸易试验区世纪大道1168号A座101室、18楼、19楼及20楼</w:t>
            </w:r>
          </w:p>
        </w:tc>
        <w:tc>
          <w:tcPr>
            <w:tcW w:w="1350" w:type="dxa"/>
            <w:tcMar>
              <w:left w:w="120" w:type="dxa"/>
            </w:tcMar>
            <w:vAlign w:val="center"/>
          </w:tcPr>
          <w:p w14:paraId="5BAD41E0">
            <w:pPr>
              <w:spacing w:line="240" w:lineRule="auto"/>
              <w:rPr>
                <w:sz w:val="28"/>
                <w:szCs w:val="28"/>
              </w:rPr>
            </w:pPr>
            <w:r>
              <w:rPr>
                <w:rFonts w:ascii="方正黑体_GBK" w:hAnsi="方正黑体_GBK" w:eastAsia="方正黑体_GBK" w:cs="宋体"/>
                <w:sz w:val="20"/>
                <w:szCs w:val="24"/>
              </w:rPr>
              <w:t>+86-21-962811</w:t>
            </w:r>
          </w:p>
        </w:tc>
      </w:tr>
      <w:tr w14:paraId="2EE36BB6">
        <w:trPr>
          <w:trHeight w:val="300" w:hRule="atLeast"/>
        </w:trPr>
        <w:tc>
          <w:tcPr>
            <w:tcW w:w="2100" w:type="dxa"/>
            <w:tcMar>
              <w:left w:w="120" w:type="dxa"/>
            </w:tcMar>
            <w:vAlign w:val="center"/>
          </w:tcPr>
          <w:p w14:paraId="5E81BF3D">
            <w:pPr>
              <w:spacing w:line="240" w:lineRule="auto"/>
              <w:rPr>
                <w:sz w:val="28"/>
                <w:szCs w:val="28"/>
              </w:rPr>
            </w:pPr>
            <w:r>
              <w:rPr>
                <w:rFonts w:ascii="方正黑体_GBK" w:hAnsi="方正黑体_GBK" w:eastAsia="方正黑体_GBK" w:cs="宋体"/>
                <w:sz w:val="20"/>
                <w:szCs w:val="24"/>
              </w:rPr>
              <w:t>广州银行股份有限公司</w:t>
            </w:r>
          </w:p>
        </w:tc>
        <w:tc>
          <w:tcPr>
            <w:tcW w:w="4050" w:type="dxa"/>
            <w:tcMar>
              <w:left w:w="120" w:type="dxa"/>
            </w:tcMar>
            <w:vAlign w:val="center"/>
          </w:tcPr>
          <w:p w14:paraId="3CF6047C">
            <w:pPr>
              <w:spacing w:line="240" w:lineRule="auto"/>
              <w:rPr>
                <w:sz w:val="28"/>
                <w:szCs w:val="28"/>
              </w:rPr>
            </w:pPr>
            <w:r>
              <w:rPr>
                <w:rFonts w:ascii="方正黑体_GBK" w:hAnsi="方正黑体_GBK" w:eastAsia="方正黑体_GBK" w:cs="宋体"/>
                <w:sz w:val="20"/>
                <w:szCs w:val="24"/>
              </w:rPr>
              <w:t>广州市天河区珠江东路30号</w:t>
            </w:r>
          </w:p>
        </w:tc>
        <w:tc>
          <w:tcPr>
            <w:tcW w:w="1350" w:type="dxa"/>
            <w:tcMar>
              <w:left w:w="120" w:type="dxa"/>
            </w:tcMar>
            <w:vAlign w:val="center"/>
          </w:tcPr>
          <w:p w14:paraId="0DFA4ECD">
            <w:pPr>
              <w:spacing w:line="240" w:lineRule="auto"/>
              <w:rPr>
                <w:sz w:val="28"/>
                <w:szCs w:val="28"/>
              </w:rPr>
            </w:pPr>
            <w:r>
              <w:rPr>
                <w:rFonts w:ascii="方正黑体_GBK" w:hAnsi="方正黑体_GBK" w:eastAsia="方正黑体_GBK" w:cs="宋体"/>
                <w:sz w:val="20"/>
                <w:szCs w:val="24"/>
              </w:rPr>
              <w:t>400-83-96699</w:t>
            </w:r>
          </w:p>
        </w:tc>
      </w:tr>
      <w:tr w14:paraId="2E6090ED">
        <w:trPr>
          <w:trHeight w:val="300" w:hRule="atLeast"/>
        </w:trPr>
        <w:tc>
          <w:tcPr>
            <w:tcW w:w="2100" w:type="dxa"/>
            <w:tcMar>
              <w:left w:w="120" w:type="dxa"/>
            </w:tcMar>
            <w:vAlign w:val="center"/>
          </w:tcPr>
          <w:p w14:paraId="2B2FC19A">
            <w:pPr>
              <w:spacing w:line="240" w:lineRule="auto"/>
              <w:rPr>
                <w:sz w:val="28"/>
                <w:szCs w:val="28"/>
              </w:rPr>
            </w:pPr>
            <w:r>
              <w:rPr>
                <w:rFonts w:ascii="方正黑体_GBK" w:hAnsi="方正黑体_GBK" w:eastAsia="方正黑体_GBK" w:cs="宋体"/>
                <w:sz w:val="20"/>
                <w:szCs w:val="24"/>
              </w:rPr>
              <w:t>无锡农村商业银行股份有限公司</w:t>
            </w:r>
          </w:p>
        </w:tc>
        <w:tc>
          <w:tcPr>
            <w:tcW w:w="4050" w:type="dxa"/>
            <w:tcMar>
              <w:left w:w="120" w:type="dxa"/>
            </w:tcMar>
            <w:vAlign w:val="center"/>
          </w:tcPr>
          <w:p w14:paraId="5263BC02">
            <w:pPr>
              <w:spacing w:line="240" w:lineRule="auto"/>
              <w:rPr>
                <w:sz w:val="28"/>
                <w:szCs w:val="28"/>
              </w:rPr>
            </w:pPr>
            <w:r>
              <w:rPr>
                <w:rFonts w:ascii="方正黑体_GBK" w:hAnsi="方正黑体_GBK" w:eastAsia="方正黑体_GBK" w:cs="宋体"/>
                <w:sz w:val="20"/>
                <w:szCs w:val="24"/>
              </w:rPr>
              <w:t>江苏省无锡市锡山区延庆街11号、丹山路66-3、 66-1301、 66-1401号</w:t>
            </w:r>
          </w:p>
        </w:tc>
        <w:tc>
          <w:tcPr>
            <w:tcW w:w="1350" w:type="dxa"/>
            <w:tcMar>
              <w:left w:w="120" w:type="dxa"/>
            </w:tcMar>
            <w:vAlign w:val="center"/>
          </w:tcPr>
          <w:p w14:paraId="239CCEBF">
            <w:pPr>
              <w:spacing w:line="240" w:lineRule="auto"/>
              <w:rPr>
                <w:sz w:val="28"/>
                <w:szCs w:val="28"/>
              </w:rPr>
            </w:pPr>
            <w:r>
              <w:rPr>
                <w:rFonts w:ascii="方正黑体_GBK" w:hAnsi="方正黑体_GBK" w:eastAsia="方正黑体_GBK" w:cs="宋体"/>
                <w:sz w:val="20"/>
                <w:szCs w:val="24"/>
              </w:rPr>
              <w:t>0510-96058</w:t>
            </w:r>
          </w:p>
        </w:tc>
      </w:tr>
      <w:tr w14:paraId="49B5E7FE">
        <w:trPr>
          <w:trHeight w:val="300" w:hRule="atLeast"/>
        </w:trPr>
        <w:tc>
          <w:tcPr>
            <w:tcW w:w="2100" w:type="dxa"/>
            <w:tcMar>
              <w:left w:w="120" w:type="dxa"/>
            </w:tcMar>
            <w:vAlign w:val="center"/>
          </w:tcPr>
          <w:p w14:paraId="514DFE8B">
            <w:pPr>
              <w:spacing w:line="240" w:lineRule="auto"/>
              <w:rPr>
                <w:sz w:val="28"/>
                <w:szCs w:val="28"/>
              </w:rPr>
            </w:pPr>
            <w:r>
              <w:rPr>
                <w:rFonts w:ascii="方正黑体_GBK" w:hAnsi="方正黑体_GBK" w:eastAsia="方正黑体_GBK" w:cs="宋体"/>
                <w:sz w:val="20"/>
                <w:szCs w:val="24"/>
              </w:rPr>
              <w:t>石嘴山银行股份有限公司</w:t>
            </w:r>
          </w:p>
        </w:tc>
        <w:tc>
          <w:tcPr>
            <w:tcW w:w="4050" w:type="dxa"/>
            <w:tcMar>
              <w:left w:w="120" w:type="dxa"/>
            </w:tcMar>
            <w:vAlign w:val="center"/>
          </w:tcPr>
          <w:p w14:paraId="0333CD0D">
            <w:pPr>
              <w:spacing w:line="240" w:lineRule="auto"/>
              <w:rPr>
                <w:sz w:val="28"/>
                <w:szCs w:val="28"/>
              </w:rPr>
            </w:pPr>
            <w:r>
              <w:rPr>
                <w:rFonts w:ascii="方正黑体_GBK" w:hAnsi="方正黑体_GBK" w:eastAsia="方正黑体_GBK" w:cs="宋体"/>
                <w:sz w:val="20"/>
                <w:szCs w:val="24"/>
              </w:rPr>
              <w:t>宁夏回族自治区石嘴山市大武口区朝阳西街 39 号</w:t>
            </w:r>
          </w:p>
        </w:tc>
        <w:tc>
          <w:tcPr>
            <w:tcW w:w="1350" w:type="dxa"/>
            <w:tcMar>
              <w:left w:w="120" w:type="dxa"/>
            </w:tcMar>
            <w:vAlign w:val="center"/>
          </w:tcPr>
          <w:p w14:paraId="22CBC7AD">
            <w:pPr>
              <w:spacing w:line="240" w:lineRule="auto"/>
              <w:rPr>
                <w:sz w:val="28"/>
                <w:szCs w:val="28"/>
              </w:rPr>
            </w:pPr>
            <w:r>
              <w:rPr>
                <w:rFonts w:ascii="方正黑体_GBK" w:hAnsi="方正黑体_GBK" w:eastAsia="方正黑体_GBK" w:cs="宋体"/>
                <w:sz w:val="20"/>
                <w:szCs w:val="24"/>
              </w:rPr>
              <w:t>0951-96789</w:t>
            </w:r>
          </w:p>
        </w:tc>
      </w:tr>
      <w:tr w14:paraId="7958C023">
        <w:trPr>
          <w:trHeight w:val="300" w:hRule="atLeast"/>
        </w:trPr>
        <w:tc>
          <w:tcPr>
            <w:tcW w:w="2100" w:type="dxa"/>
            <w:tcMar>
              <w:left w:w="120" w:type="dxa"/>
            </w:tcMar>
            <w:vAlign w:val="center"/>
          </w:tcPr>
          <w:p w14:paraId="4C5E678B">
            <w:pPr>
              <w:spacing w:line="240" w:lineRule="auto"/>
              <w:rPr>
                <w:sz w:val="28"/>
                <w:szCs w:val="28"/>
              </w:rPr>
            </w:pPr>
            <w:r>
              <w:rPr>
                <w:rFonts w:ascii="方正黑体_GBK" w:hAnsi="方正黑体_GBK" w:eastAsia="方正黑体_GBK" w:cs="宋体"/>
                <w:sz w:val="20"/>
                <w:szCs w:val="24"/>
              </w:rPr>
              <w:t>无锡锡商银行股份有限公司</w:t>
            </w:r>
          </w:p>
        </w:tc>
        <w:tc>
          <w:tcPr>
            <w:tcW w:w="4050" w:type="dxa"/>
            <w:tcMar>
              <w:left w:w="120" w:type="dxa"/>
            </w:tcMar>
            <w:vAlign w:val="center"/>
          </w:tcPr>
          <w:p w14:paraId="4695D450">
            <w:pPr>
              <w:spacing w:line="240" w:lineRule="auto"/>
              <w:rPr>
                <w:sz w:val="28"/>
                <w:szCs w:val="28"/>
              </w:rPr>
            </w:pPr>
            <w:r>
              <w:rPr>
                <w:rFonts w:ascii="方正黑体_GBK" w:hAnsi="方正黑体_GBK" w:eastAsia="方正黑体_GBK" w:cs="宋体"/>
                <w:sz w:val="20"/>
                <w:szCs w:val="24"/>
              </w:rPr>
              <w:t>江苏省无锡市锡山区安镇街道东翔路578号红豆财富广场1-2层、5-11层</w:t>
            </w:r>
          </w:p>
        </w:tc>
        <w:tc>
          <w:tcPr>
            <w:tcW w:w="1350" w:type="dxa"/>
            <w:tcMar>
              <w:left w:w="120" w:type="dxa"/>
            </w:tcMar>
            <w:vAlign w:val="center"/>
          </w:tcPr>
          <w:p w14:paraId="26B45EA8">
            <w:pPr>
              <w:spacing w:line="240" w:lineRule="auto"/>
              <w:rPr>
                <w:sz w:val="28"/>
                <w:szCs w:val="28"/>
              </w:rPr>
            </w:pPr>
            <w:r>
              <w:rPr>
                <w:rFonts w:ascii="方正黑体_GBK" w:hAnsi="方正黑体_GBK" w:eastAsia="方正黑体_GBK" w:cs="宋体"/>
                <w:sz w:val="20"/>
                <w:szCs w:val="24"/>
              </w:rPr>
              <w:t>400-888-0555</w:t>
            </w:r>
          </w:p>
        </w:tc>
      </w:tr>
      <w:tr w14:paraId="670FF699">
        <w:trPr>
          <w:trHeight w:val="300" w:hRule="atLeast"/>
        </w:trPr>
        <w:tc>
          <w:tcPr>
            <w:tcW w:w="2100" w:type="dxa"/>
            <w:tcMar>
              <w:left w:w="120" w:type="dxa"/>
            </w:tcMar>
            <w:vAlign w:val="center"/>
          </w:tcPr>
          <w:p w14:paraId="786A3208">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050" w:type="dxa"/>
            <w:tcMar>
              <w:left w:w="120" w:type="dxa"/>
            </w:tcMar>
            <w:vAlign w:val="center"/>
          </w:tcPr>
          <w:p w14:paraId="60664BE1">
            <w:pPr>
              <w:spacing w:line="240" w:lineRule="auto"/>
              <w:rPr>
                <w:sz w:val="28"/>
                <w:szCs w:val="28"/>
              </w:rPr>
            </w:pPr>
            <w:r>
              <w:rPr>
                <w:rFonts w:ascii="方正黑体_GBK" w:hAnsi="方正黑体_GBK" w:eastAsia="方正黑体_GBK" w:cs="宋体"/>
                <w:sz w:val="20"/>
                <w:szCs w:val="24"/>
              </w:rPr>
              <w:t>镇江市丹阳金陵西路152号</w:t>
            </w:r>
          </w:p>
        </w:tc>
        <w:tc>
          <w:tcPr>
            <w:tcW w:w="1350" w:type="dxa"/>
            <w:tcMar>
              <w:left w:w="120" w:type="dxa"/>
            </w:tcMar>
            <w:vAlign w:val="center"/>
          </w:tcPr>
          <w:p w14:paraId="08D83628">
            <w:pPr>
              <w:spacing w:line="240" w:lineRule="auto"/>
              <w:rPr>
                <w:sz w:val="28"/>
                <w:szCs w:val="28"/>
              </w:rPr>
            </w:pPr>
            <w:r>
              <w:rPr>
                <w:rFonts w:ascii="方正黑体_GBK" w:hAnsi="方正黑体_GBK" w:eastAsia="方正黑体_GBK" w:cs="宋体"/>
                <w:sz w:val="20"/>
                <w:szCs w:val="24"/>
              </w:rPr>
              <w:t>96008</w:t>
            </w:r>
          </w:p>
        </w:tc>
      </w:tr>
      <w:tr w14:paraId="3FCA5285">
        <w:trPr>
          <w:trHeight w:val="300" w:hRule="atLeast"/>
        </w:trPr>
        <w:tc>
          <w:tcPr>
            <w:tcW w:w="2100" w:type="dxa"/>
            <w:tcMar>
              <w:left w:w="120" w:type="dxa"/>
            </w:tcMar>
            <w:vAlign w:val="center"/>
          </w:tcPr>
          <w:p w14:paraId="00B1EA97">
            <w:pPr>
              <w:spacing w:line="240" w:lineRule="auto"/>
              <w:rPr>
                <w:sz w:val="28"/>
                <w:szCs w:val="28"/>
              </w:rPr>
            </w:pPr>
            <w:r>
              <w:rPr>
                <w:rFonts w:ascii="方正黑体_GBK" w:hAnsi="方正黑体_GBK" w:eastAsia="方正黑体_GBK" w:cs="宋体"/>
                <w:sz w:val="20"/>
                <w:szCs w:val="24"/>
              </w:rPr>
              <w:t>江苏宜兴农村商业银行股份有限公司</w:t>
            </w:r>
          </w:p>
        </w:tc>
        <w:tc>
          <w:tcPr>
            <w:tcW w:w="4050" w:type="dxa"/>
            <w:tcMar>
              <w:left w:w="120" w:type="dxa"/>
            </w:tcMar>
            <w:vAlign w:val="center"/>
          </w:tcPr>
          <w:p w14:paraId="6D43FE12">
            <w:pPr>
              <w:spacing w:line="240" w:lineRule="auto"/>
              <w:rPr>
                <w:sz w:val="28"/>
                <w:szCs w:val="28"/>
              </w:rPr>
            </w:pPr>
            <w:r>
              <w:rPr>
                <w:rFonts w:ascii="方正黑体_GBK" w:hAnsi="方正黑体_GBK" w:eastAsia="方正黑体_GBK" w:cs="宋体"/>
                <w:sz w:val="20"/>
                <w:szCs w:val="24"/>
              </w:rPr>
              <w:t>江苏省宜兴市宜城街道解放东路579号</w:t>
            </w:r>
          </w:p>
        </w:tc>
        <w:tc>
          <w:tcPr>
            <w:tcW w:w="1350" w:type="dxa"/>
            <w:tcMar>
              <w:left w:w="120" w:type="dxa"/>
            </w:tcMar>
            <w:vAlign w:val="center"/>
          </w:tcPr>
          <w:p w14:paraId="4C32BCE3">
            <w:pPr>
              <w:spacing w:line="240" w:lineRule="auto"/>
              <w:rPr>
                <w:sz w:val="28"/>
                <w:szCs w:val="28"/>
              </w:rPr>
            </w:pPr>
            <w:r>
              <w:rPr>
                <w:rFonts w:ascii="方正黑体_GBK" w:hAnsi="方正黑体_GBK" w:eastAsia="方正黑体_GBK" w:cs="宋体"/>
                <w:sz w:val="20"/>
                <w:szCs w:val="24"/>
              </w:rPr>
              <w:t>96008</w:t>
            </w:r>
          </w:p>
        </w:tc>
      </w:tr>
      <w:tr w14:paraId="5B98E4E5">
        <w:trPr>
          <w:trHeight w:val="300" w:hRule="atLeast"/>
        </w:trPr>
        <w:tc>
          <w:tcPr>
            <w:tcW w:w="2100" w:type="dxa"/>
            <w:tcMar>
              <w:left w:w="120" w:type="dxa"/>
            </w:tcMar>
            <w:vAlign w:val="center"/>
          </w:tcPr>
          <w:p w14:paraId="073A9597">
            <w:pPr>
              <w:spacing w:line="240" w:lineRule="auto"/>
              <w:rPr>
                <w:sz w:val="28"/>
                <w:szCs w:val="28"/>
              </w:rPr>
            </w:pPr>
            <w:r>
              <w:rPr>
                <w:rFonts w:ascii="方正黑体_GBK" w:hAnsi="方正黑体_GBK" w:eastAsia="方正黑体_GBK" w:cs="宋体"/>
                <w:sz w:val="20"/>
                <w:szCs w:val="24"/>
              </w:rPr>
              <w:t>江苏高淳农村商业银行股份有限公司</w:t>
            </w:r>
          </w:p>
        </w:tc>
        <w:tc>
          <w:tcPr>
            <w:tcW w:w="4050" w:type="dxa"/>
            <w:tcMar>
              <w:left w:w="120" w:type="dxa"/>
            </w:tcMar>
            <w:vAlign w:val="center"/>
          </w:tcPr>
          <w:p w14:paraId="06BDAAA1">
            <w:pPr>
              <w:spacing w:line="240" w:lineRule="auto"/>
              <w:rPr>
                <w:sz w:val="28"/>
                <w:szCs w:val="28"/>
              </w:rPr>
            </w:pPr>
            <w:r>
              <w:rPr>
                <w:rFonts w:ascii="方正黑体_GBK" w:hAnsi="方正黑体_GBK" w:eastAsia="方正黑体_GBK" w:cs="宋体"/>
                <w:sz w:val="20"/>
                <w:szCs w:val="24"/>
              </w:rPr>
              <w:t>南京市高淳区淳溪镇宝塔路123号</w:t>
            </w:r>
          </w:p>
        </w:tc>
        <w:tc>
          <w:tcPr>
            <w:tcW w:w="1350" w:type="dxa"/>
            <w:tcMar>
              <w:left w:w="120" w:type="dxa"/>
            </w:tcMar>
            <w:vAlign w:val="center"/>
          </w:tcPr>
          <w:p w14:paraId="3E271664">
            <w:pPr>
              <w:spacing w:line="240" w:lineRule="auto"/>
              <w:rPr>
                <w:sz w:val="28"/>
                <w:szCs w:val="28"/>
              </w:rPr>
            </w:pPr>
            <w:r>
              <w:rPr>
                <w:rFonts w:ascii="方正黑体_GBK" w:hAnsi="方正黑体_GBK" w:eastAsia="方正黑体_GBK" w:cs="宋体"/>
                <w:sz w:val="20"/>
                <w:szCs w:val="24"/>
              </w:rPr>
              <w:t>96008</w:t>
            </w:r>
          </w:p>
        </w:tc>
      </w:tr>
      <w:tr w14:paraId="42B95052">
        <w:trPr>
          <w:trHeight w:val="300" w:hRule="atLeast"/>
        </w:trPr>
        <w:tc>
          <w:tcPr>
            <w:tcW w:w="2100" w:type="dxa"/>
            <w:tcMar>
              <w:left w:w="120" w:type="dxa"/>
            </w:tcMar>
            <w:vAlign w:val="center"/>
          </w:tcPr>
          <w:p w14:paraId="433713AE">
            <w:pPr>
              <w:spacing w:line="240" w:lineRule="auto"/>
              <w:rPr>
                <w:sz w:val="28"/>
                <w:szCs w:val="28"/>
              </w:rPr>
            </w:pPr>
            <w:r>
              <w:rPr>
                <w:rFonts w:ascii="方正黑体_GBK" w:hAnsi="方正黑体_GBK" w:eastAsia="方正黑体_GBK" w:cs="宋体"/>
                <w:sz w:val="20"/>
                <w:szCs w:val="24"/>
              </w:rPr>
              <w:t>江苏泰兴农村商业银行股份有限公司</w:t>
            </w:r>
          </w:p>
        </w:tc>
        <w:tc>
          <w:tcPr>
            <w:tcW w:w="4050" w:type="dxa"/>
            <w:tcMar>
              <w:left w:w="120" w:type="dxa"/>
            </w:tcMar>
            <w:vAlign w:val="center"/>
          </w:tcPr>
          <w:p w14:paraId="419C35D0">
            <w:pPr>
              <w:spacing w:line="240" w:lineRule="auto"/>
              <w:rPr>
                <w:sz w:val="28"/>
                <w:szCs w:val="28"/>
              </w:rPr>
            </w:pPr>
            <w:r>
              <w:rPr>
                <w:rFonts w:ascii="方正黑体_GBK" w:hAnsi="方正黑体_GBK" w:eastAsia="方正黑体_GBK" w:cs="宋体"/>
                <w:sz w:val="20"/>
                <w:szCs w:val="24"/>
              </w:rPr>
              <w:t>泰兴市国庆东路166号</w:t>
            </w:r>
          </w:p>
        </w:tc>
        <w:tc>
          <w:tcPr>
            <w:tcW w:w="1350" w:type="dxa"/>
            <w:tcMar>
              <w:left w:w="120" w:type="dxa"/>
            </w:tcMar>
            <w:vAlign w:val="center"/>
          </w:tcPr>
          <w:p w14:paraId="027A6E0E">
            <w:pPr>
              <w:spacing w:line="240" w:lineRule="auto"/>
              <w:rPr>
                <w:sz w:val="28"/>
                <w:szCs w:val="28"/>
              </w:rPr>
            </w:pPr>
            <w:r>
              <w:rPr>
                <w:rFonts w:ascii="方正黑体_GBK" w:hAnsi="方正黑体_GBK" w:eastAsia="方正黑体_GBK" w:cs="宋体"/>
                <w:sz w:val="20"/>
                <w:szCs w:val="24"/>
              </w:rPr>
              <w:t>96008</w:t>
            </w:r>
          </w:p>
        </w:tc>
      </w:tr>
      <w:tr w14:paraId="2251ABF1">
        <w:trPr>
          <w:trHeight w:val="300" w:hRule="atLeast"/>
        </w:trPr>
        <w:tc>
          <w:tcPr>
            <w:tcW w:w="2100" w:type="dxa"/>
            <w:tcMar>
              <w:left w:w="120" w:type="dxa"/>
            </w:tcMar>
            <w:vAlign w:val="center"/>
          </w:tcPr>
          <w:p w14:paraId="0C26132D">
            <w:pPr>
              <w:spacing w:line="240" w:lineRule="auto"/>
              <w:rPr>
                <w:sz w:val="28"/>
                <w:szCs w:val="28"/>
              </w:rPr>
            </w:pPr>
            <w:r>
              <w:rPr>
                <w:rFonts w:ascii="方正黑体_GBK" w:hAnsi="方正黑体_GBK" w:eastAsia="方正黑体_GBK" w:cs="宋体"/>
                <w:sz w:val="20"/>
                <w:szCs w:val="24"/>
              </w:rPr>
              <w:t>江苏响水农村商业银行股份有限公司</w:t>
            </w:r>
          </w:p>
        </w:tc>
        <w:tc>
          <w:tcPr>
            <w:tcW w:w="4050" w:type="dxa"/>
            <w:tcMar>
              <w:left w:w="120" w:type="dxa"/>
            </w:tcMar>
            <w:vAlign w:val="center"/>
          </w:tcPr>
          <w:p w14:paraId="68891698">
            <w:pPr>
              <w:spacing w:line="240" w:lineRule="auto"/>
              <w:rPr>
                <w:sz w:val="28"/>
                <w:szCs w:val="28"/>
              </w:rPr>
            </w:pPr>
            <w:r>
              <w:rPr>
                <w:rFonts w:ascii="方正黑体_GBK" w:hAnsi="方正黑体_GBK" w:eastAsia="方正黑体_GBK" w:cs="宋体"/>
                <w:sz w:val="20"/>
                <w:szCs w:val="24"/>
              </w:rPr>
              <w:t>江苏省响水县双园东路北侧</w:t>
            </w:r>
          </w:p>
        </w:tc>
        <w:tc>
          <w:tcPr>
            <w:tcW w:w="1350" w:type="dxa"/>
            <w:tcMar>
              <w:left w:w="120" w:type="dxa"/>
            </w:tcMar>
            <w:vAlign w:val="center"/>
          </w:tcPr>
          <w:p w14:paraId="7B312FB4">
            <w:pPr>
              <w:spacing w:line="240" w:lineRule="auto"/>
              <w:rPr>
                <w:sz w:val="28"/>
                <w:szCs w:val="28"/>
              </w:rPr>
            </w:pPr>
            <w:r>
              <w:rPr>
                <w:rFonts w:ascii="方正黑体_GBK" w:hAnsi="方正黑体_GBK" w:eastAsia="方正黑体_GBK" w:cs="宋体"/>
                <w:sz w:val="20"/>
                <w:szCs w:val="24"/>
              </w:rPr>
              <w:t>96008</w:t>
            </w:r>
          </w:p>
        </w:tc>
      </w:tr>
      <w:tr w14:paraId="6AC4311D">
        <w:trPr>
          <w:trHeight w:val="300" w:hRule="atLeast"/>
        </w:trPr>
        <w:tc>
          <w:tcPr>
            <w:tcW w:w="2100" w:type="dxa"/>
            <w:tcMar>
              <w:left w:w="120" w:type="dxa"/>
            </w:tcMar>
            <w:vAlign w:val="center"/>
          </w:tcPr>
          <w:p w14:paraId="6C5B8105">
            <w:pPr>
              <w:spacing w:line="240" w:lineRule="auto"/>
              <w:rPr>
                <w:sz w:val="28"/>
                <w:szCs w:val="28"/>
              </w:rPr>
            </w:pPr>
            <w:r>
              <w:rPr>
                <w:rFonts w:ascii="方正黑体_GBK" w:hAnsi="方正黑体_GBK" w:eastAsia="方正黑体_GBK" w:cs="宋体"/>
                <w:sz w:val="20"/>
                <w:szCs w:val="24"/>
              </w:rPr>
              <w:t>江苏靖江农村商业银行股份有限公司</w:t>
            </w:r>
          </w:p>
        </w:tc>
        <w:tc>
          <w:tcPr>
            <w:tcW w:w="4050" w:type="dxa"/>
            <w:tcMar>
              <w:left w:w="120" w:type="dxa"/>
            </w:tcMar>
            <w:vAlign w:val="center"/>
          </w:tcPr>
          <w:p w14:paraId="0CA308E3">
            <w:pPr>
              <w:spacing w:line="240" w:lineRule="auto"/>
              <w:rPr>
                <w:sz w:val="28"/>
                <w:szCs w:val="28"/>
              </w:rPr>
            </w:pPr>
            <w:r>
              <w:rPr>
                <w:rFonts w:ascii="方正黑体_GBK" w:hAnsi="方正黑体_GBK" w:eastAsia="方正黑体_GBK" w:cs="宋体"/>
                <w:sz w:val="20"/>
                <w:szCs w:val="24"/>
              </w:rPr>
              <w:t>江苏省靖江市南环西路12号</w:t>
            </w:r>
          </w:p>
        </w:tc>
        <w:tc>
          <w:tcPr>
            <w:tcW w:w="1350" w:type="dxa"/>
            <w:tcMar>
              <w:left w:w="120" w:type="dxa"/>
            </w:tcMar>
            <w:vAlign w:val="center"/>
          </w:tcPr>
          <w:p w14:paraId="5343E193">
            <w:pPr>
              <w:spacing w:line="240" w:lineRule="auto"/>
              <w:rPr>
                <w:sz w:val="28"/>
                <w:szCs w:val="28"/>
              </w:rPr>
            </w:pPr>
            <w:r>
              <w:rPr>
                <w:rFonts w:ascii="方正黑体_GBK" w:hAnsi="方正黑体_GBK" w:eastAsia="方正黑体_GBK" w:cs="宋体"/>
                <w:sz w:val="20"/>
                <w:szCs w:val="24"/>
              </w:rPr>
              <w:t>96008</w:t>
            </w:r>
          </w:p>
        </w:tc>
      </w:tr>
      <w:tr w14:paraId="0C770A0F">
        <w:trPr>
          <w:trHeight w:val="300" w:hRule="atLeast"/>
        </w:trPr>
        <w:tc>
          <w:tcPr>
            <w:tcW w:w="2100" w:type="dxa"/>
            <w:tcMar>
              <w:left w:w="120" w:type="dxa"/>
            </w:tcMar>
            <w:vAlign w:val="center"/>
          </w:tcPr>
          <w:p w14:paraId="16557D54">
            <w:pPr>
              <w:spacing w:line="240" w:lineRule="auto"/>
              <w:rPr>
                <w:sz w:val="28"/>
                <w:szCs w:val="28"/>
              </w:rPr>
            </w:pPr>
            <w:r>
              <w:rPr>
                <w:rFonts w:ascii="方正黑体_GBK" w:hAnsi="方正黑体_GBK" w:eastAsia="方正黑体_GBK" w:cs="宋体"/>
                <w:sz w:val="20"/>
                <w:szCs w:val="24"/>
              </w:rPr>
              <w:t>江苏新沂农村商业银行股份有限公司</w:t>
            </w:r>
          </w:p>
        </w:tc>
        <w:tc>
          <w:tcPr>
            <w:tcW w:w="4050" w:type="dxa"/>
            <w:tcMar>
              <w:left w:w="120" w:type="dxa"/>
            </w:tcMar>
            <w:vAlign w:val="center"/>
          </w:tcPr>
          <w:p w14:paraId="5C640E04">
            <w:pPr>
              <w:spacing w:line="240" w:lineRule="auto"/>
              <w:rPr>
                <w:sz w:val="28"/>
                <w:szCs w:val="28"/>
              </w:rPr>
            </w:pPr>
            <w:r>
              <w:rPr>
                <w:rFonts w:ascii="方正黑体_GBK" w:hAnsi="方正黑体_GBK" w:eastAsia="方正黑体_GBK" w:cs="宋体"/>
                <w:sz w:val="20"/>
                <w:szCs w:val="24"/>
              </w:rPr>
              <w:t>江苏省新沂市钟吾路163号</w:t>
            </w:r>
          </w:p>
        </w:tc>
        <w:tc>
          <w:tcPr>
            <w:tcW w:w="1350" w:type="dxa"/>
            <w:tcMar>
              <w:left w:w="120" w:type="dxa"/>
            </w:tcMar>
            <w:vAlign w:val="center"/>
          </w:tcPr>
          <w:p w14:paraId="58BD9B84">
            <w:pPr>
              <w:spacing w:line="240" w:lineRule="auto"/>
              <w:rPr>
                <w:sz w:val="28"/>
                <w:szCs w:val="28"/>
              </w:rPr>
            </w:pPr>
            <w:r>
              <w:rPr>
                <w:rFonts w:ascii="方正黑体_GBK" w:hAnsi="方正黑体_GBK" w:eastAsia="方正黑体_GBK" w:cs="宋体"/>
                <w:sz w:val="20"/>
                <w:szCs w:val="24"/>
              </w:rPr>
              <w:t>96008</w:t>
            </w:r>
          </w:p>
        </w:tc>
      </w:tr>
      <w:tr w14:paraId="7914F35F">
        <w:trPr>
          <w:trHeight w:val="300" w:hRule="atLeast"/>
        </w:trPr>
        <w:tc>
          <w:tcPr>
            <w:tcW w:w="2100" w:type="dxa"/>
            <w:tcMar>
              <w:left w:w="120" w:type="dxa"/>
            </w:tcMar>
            <w:vAlign w:val="center"/>
          </w:tcPr>
          <w:p w14:paraId="7C1A6B6E">
            <w:pPr>
              <w:spacing w:line="240" w:lineRule="auto"/>
              <w:rPr>
                <w:sz w:val="28"/>
                <w:szCs w:val="28"/>
              </w:rPr>
            </w:pPr>
            <w:r>
              <w:rPr>
                <w:rFonts w:ascii="方正黑体_GBK" w:hAnsi="方正黑体_GBK" w:eastAsia="方正黑体_GBK" w:cs="宋体"/>
                <w:sz w:val="20"/>
                <w:szCs w:val="24"/>
              </w:rPr>
              <w:t>江苏民丰农村商业银行股份有限公司</w:t>
            </w:r>
          </w:p>
        </w:tc>
        <w:tc>
          <w:tcPr>
            <w:tcW w:w="4050" w:type="dxa"/>
            <w:tcMar>
              <w:left w:w="120" w:type="dxa"/>
            </w:tcMar>
            <w:vAlign w:val="center"/>
          </w:tcPr>
          <w:p w14:paraId="16659264">
            <w:pPr>
              <w:spacing w:line="240" w:lineRule="auto"/>
              <w:rPr>
                <w:sz w:val="28"/>
                <w:szCs w:val="28"/>
              </w:rPr>
            </w:pPr>
            <w:r>
              <w:rPr>
                <w:rFonts w:ascii="方正黑体_GBK" w:hAnsi="方正黑体_GBK" w:eastAsia="方正黑体_GBK" w:cs="宋体"/>
                <w:sz w:val="20"/>
                <w:szCs w:val="24"/>
              </w:rPr>
              <w:t>江苏省宿迁市宿城区高宝湖路1号</w:t>
            </w:r>
          </w:p>
        </w:tc>
        <w:tc>
          <w:tcPr>
            <w:tcW w:w="1350" w:type="dxa"/>
            <w:tcMar>
              <w:left w:w="120" w:type="dxa"/>
            </w:tcMar>
            <w:vAlign w:val="center"/>
          </w:tcPr>
          <w:p w14:paraId="213C0142">
            <w:pPr>
              <w:spacing w:line="240" w:lineRule="auto"/>
              <w:rPr>
                <w:sz w:val="28"/>
                <w:szCs w:val="28"/>
              </w:rPr>
            </w:pPr>
            <w:r>
              <w:rPr>
                <w:rFonts w:ascii="方正黑体_GBK" w:hAnsi="方正黑体_GBK" w:eastAsia="方正黑体_GBK" w:cs="宋体"/>
                <w:sz w:val="20"/>
                <w:szCs w:val="24"/>
              </w:rPr>
              <w:t>96008</w:t>
            </w:r>
          </w:p>
        </w:tc>
      </w:tr>
      <w:tr w14:paraId="1007768C">
        <w:trPr>
          <w:trHeight w:val="300" w:hRule="atLeast"/>
        </w:trPr>
        <w:tc>
          <w:tcPr>
            <w:tcW w:w="2100" w:type="dxa"/>
            <w:tcMar>
              <w:left w:w="120" w:type="dxa"/>
            </w:tcMar>
            <w:vAlign w:val="center"/>
          </w:tcPr>
          <w:p w14:paraId="0AA6CF61">
            <w:pPr>
              <w:spacing w:line="240" w:lineRule="auto"/>
              <w:rPr>
                <w:sz w:val="28"/>
                <w:szCs w:val="28"/>
              </w:rPr>
            </w:pPr>
            <w:r>
              <w:rPr>
                <w:rFonts w:ascii="方正黑体_GBK" w:hAnsi="方正黑体_GBK" w:eastAsia="方正黑体_GBK" w:cs="宋体"/>
                <w:sz w:val="20"/>
                <w:szCs w:val="24"/>
              </w:rPr>
              <w:t>江苏建湖农村商业银行股份有限公司</w:t>
            </w:r>
          </w:p>
        </w:tc>
        <w:tc>
          <w:tcPr>
            <w:tcW w:w="4050" w:type="dxa"/>
            <w:tcMar>
              <w:left w:w="120" w:type="dxa"/>
            </w:tcMar>
            <w:vAlign w:val="center"/>
          </w:tcPr>
          <w:p w14:paraId="14056375">
            <w:pPr>
              <w:spacing w:line="240" w:lineRule="auto"/>
              <w:rPr>
                <w:sz w:val="28"/>
                <w:szCs w:val="28"/>
              </w:rPr>
            </w:pPr>
            <w:r>
              <w:rPr>
                <w:rFonts w:ascii="方正黑体_GBK" w:hAnsi="方正黑体_GBK" w:eastAsia="方正黑体_GBK" w:cs="宋体"/>
                <w:sz w:val="20"/>
                <w:szCs w:val="24"/>
              </w:rPr>
              <w:t>江苏省建湖县湖中南路958号</w:t>
            </w:r>
          </w:p>
        </w:tc>
        <w:tc>
          <w:tcPr>
            <w:tcW w:w="1350" w:type="dxa"/>
            <w:tcMar>
              <w:left w:w="120" w:type="dxa"/>
            </w:tcMar>
            <w:vAlign w:val="center"/>
          </w:tcPr>
          <w:p w14:paraId="18B76066">
            <w:pPr>
              <w:spacing w:line="240" w:lineRule="auto"/>
              <w:rPr>
                <w:sz w:val="28"/>
                <w:szCs w:val="28"/>
              </w:rPr>
            </w:pPr>
            <w:r>
              <w:rPr>
                <w:rFonts w:ascii="方正黑体_GBK" w:hAnsi="方正黑体_GBK" w:eastAsia="方正黑体_GBK" w:cs="宋体"/>
                <w:sz w:val="20"/>
                <w:szCs w:val="24"/>
              </w:rPr>
              <w:t>96008</w:t>
            </w:r>
          </w:p>
        </w:tc>
      </w:tr>
      <w:tr w14:paraId="1ED17C34">
        <w:trPr>
          <w:trHeight w:val="300" w:hRule="atLeast"/>
        </w:trPr>
        <w:tc>
          <w:tcPr>
            <w:tcW w:w="2100" w:type="dxa"/>
            <w:tcMar>
              <w:left w:w="120" w:type="dxa"/>
            </w:tcMar>
            <w:vAlign w:val="center"/>
          </w:tcPr>
          <w:p w14:paraId="19A4C5DE">
            <w:pPr>
              <w:spacing w:line="240" w:lineRule="auto"/>
              <w:rPr>
                <w:sz w:val="28"/>
                <w:szCs w:val="28"/>
              </w:rPr>
            </w:pPr>
            <w:r>
              <w:rPr>
                <w:rFonts w:ascii="方正黑体_GBK" w:hAnsi="方正黑体_GBK" w:eastAsia="方正黑体_GBK" w:cs="宋体"/>
                <w:sz w:val="20"/>
                <w:szCs w:val="24"/>
              </w:rPr>
              <w:t>江苏东台农村商业银行股份有限公司</w:t>
            </w:r>
          </w:p>
        </w:tc>
        <w:tc>
          <w:tcPr>
            <w:tcW w:w="4050" w:type="dxa"/>
            <w:tcMar>
              <w:left w:w="120" w:type="dxa"/>
            </w:tcMar>
            <w:vAlign w:val="center"/>
          </w:tcPr>
          <w:p w14:paraId="640712AE">
            <w:pPr>
              <w:spacing w:line="240" w:lineRule="auto"/>
              <w:rPr>
                <w:sz w:val="28"/>
                <w:szCs w:val="28"/>
              </w:rPr>
            </w:pPr>
            <w:r>
              <w:rPr>
                <w:rFonts w:ascii="方正黑体_GBK" w:hAnsi="方正黑体_GBK" w:eastAsia="方正黑体_GBK" w:cs="宋体"/>
                <w:sz w:val="20"/>
                <w:szCs w:val="24"/>
              </w:rPr>
              <w:t>东台市东城大道10号</w:t>
            </w:r>
          </w:p>
        </w:tc>
        <w:tc>
          <w:tcPr>
            <w:tcW w:w="1350" w:type="dxa"/>
            <w:tcMar>
              <w:left w:w="120" w:type="dxa"/>
            </w:tcMar>
            <w:vAlign w:val="center"/>
          </w:tcPr>
          <w:p w14:paraId="552B8A69">
            <w:pPr>
              <w:spacing w:line="240" w:lineRule="auto"/>
              <w:rPr>
                <w:sz w:val="28"/>
                <w:szCs w:val="28"/>
              </w:rPr>
            </w:pPr>
            <w:r>
              <w:rPr>
                <w:rFonts w:ascii="方正黑体_GBK" w:hAnsi="方正黑体_GBK" w:eastAsia="方正黑体_GBK" w:cs="宋体"/>
                <w:sz w:val="20"/>
                <w:szCs w:val="24"/>
              </w:rPr>
              <w:t>96008</w:t>
            </w:r>
          </w:p>
        </w:tc>
      </w:tr>
      <w:tr w14:paraId="3CC5D744">
        <w:trPr>
          <w:trHeight w:val="300" w:hRule="atLeast"/>
        </w:trPr>
        <w:tc>
          <w:tcPr>
            <w:tcW w:w="2100" w:type="dxa"/>
            <w:tcMar>
              <w:left w:w="120" w:type="dxa"/>
            </w:tcMar>
            <w:vAlign w:val="center"/>
          </w:tcPr>
          <w:p w14:paraId="5E907400">
            <w:pPr>
              <w:spacing w:line="240" w:lineRule="auto"/>
              <w:rPr>
                <w:sz w:val="28"/>
                <w:szCs w:val="28"/>
              </w:rPr>
            </w:pPr>
            <w:r>
              <w:rPr>
                <w:rFonts w:ascii="方正黑体_GBK" w:hAnsi="方正黑体_GBK" w:eastAsia="方正黑体_GBK" w:cs="宋体"/>
                <w:sz w:val="20"/>
                <w:szCs w:val="24"/>
              </w:rPr>
              <w:t>江苏溧水农村商业银行股份有限公司</w:t>
            </w:r>
          </w:p>
        </w:tc>
        <w:tc>
          <w:tcPr>
            <w:tcW w:w="4050" w:type="dxa"/>
            <w:tcMar>
              <w:left w:w="120" w:type="dxa"/>
            </w:tcMar>
            <w:vAlign w:val="center"/>
          </w:tcPr>
          <w:p w14:paraId="57F2ED59">
            <w:pPr>
              <w:spacing w:line="240" w:lineRule="auto"/>
              <w:rPr>
                <w:sz w:val="28"/>
                <w:szCs w:val="28"/>
              </w:rPr>
            </w:pPr>
            <w:r>
              <w:rPr>
                <w:rFonts w:ascii="方正黑体_GBK" w:hAnsi="方正黑体_GBK" w:eastAsia="方正黑体_GBK" w:cs="宋体"/>
                <w:sz w:val="20"/>
                <w:szCs w:val="24"/>
              </w:rPr>
              <w:t>南京市溧水区永阳街道中山路22号</w:t>
            </w:r>
          </w:p>
        </w:tc>
        <w:tc>
          <w:tcPr>
            <w:tcW w:w="1350" w:type="dxa"/>
            <w:tcMar>
              <w:left w:w="120" w:type="dxa"/>
            </w:tcMar>
            <w:vAlign w:val="center"/>
          </w:tcPr>
          <w:p w14:paraId="6CFF0AA6">
            <w:pPr>
              <w:spacing w:line="240" w:lineRule="auto"/>
              <w:rPr>
                <w:sz w:val="28"/>
                <w:szCs w:val="28"/>
              </w:rPr>
            </w:pPr>
            <w:r>
              <w:rPr>
                <w:rFonts w:ascii="方正黑体_GBK" w:hAnsi="方正黑体_GBK" w:eastAsia="方正黑体_GBK" w:cs="宋体"/>
                <w:sz w:val="20"/>
                <w:szCs w:val="24"/>
              </w:rPr>
              <w:t>96008</w:t>
            </w:r>
          </w:p>
        </w:tc>
      </w:tr>
      <w:tr w14:paraId="44082363">
        <w:trPr>
          <w:trHeight w:val="300" w:hRule="atLeast"/>
        </w:trPr>
        <w:tc>
          <w:tcPr>
            <w:tcW w:w="2100" w:type="dxa"/>
            <w:tcMar>
              <w:left w:w="120" w:type="dxa"/>
            </w:tcMar>
            <w:vAlign w:val="center"/>
          </w:tcPr>
          <w:p w14:paraId="15B9DC1A">
            <w:pPr>
              <w:spacing w:line="240" w:lineRule="auto"/>
              <w:rPr>
                <w:sz w:val="28"/>
                <w:szCs w:val="28"/>
              </w:rPr>
            </w:pPr>
            <w:r>
              <w:rPr>
                <w:rFonts w:ascii="方正黑体_GBK" w:hAnsi="方正黑体_GBK" w:eastAsia="方正黑体_GBK" w:cs="宋体"/>
                <w:sz w:val="20"/>
                <w:szCs w:val="24"/>
              </w:rPr>
              <w:t>江苏南通农村商业银行股份有限公司</w:t>
            </w:r>
          </w:p>
        </w:tc>
        <w:tc>
          <w:tcPr>
            <w:tcW w:w="4050" w:type="dxa"/>
            <w:tcMar>
              <w:left w:w="120" w:type="dxa"/>
            </w:tcMar>
            <w:vAlign w:val="center"/>
          </w:tcPr>
          <w:p w14:paraId="0BB0DA46">
            <w:pPr>
              <w:spacing w:line="240" w:lineRule="auto"/>
              <w:rPr>
                <w:sz w:val="28"/>
                <w:szCs w:val="28"/>
              </w:rPr>
            </w:pPr>
            <w:r>
              <w:rPr>
                <w:rFonts w:ascii="方正黑体_GBK" w:hAnsi="方正黑体_GBK" w:eastAsia="方正黑体_GBK" w:cs="宋体"/>
                <w:sz w:val="20"/>
                <w:szCs w:val="24"/>
              </w:rPr>
              <w:t>南通市崇川区工农南路89号</w:t>
            </w:r>
          </w:p>
        </w:tc>
        <w:tc>
          <w:tcPr>
            <w:tcW w:w="1350" w:type="dxa"/>
            <w:tcMar>
              <w:left w:w="120" w:type="dxa"/>
            </w:tcMar>
            <w:vAlign w:val="center"/>
          </w:tcPr>
          <w:p w14:paraId="5C16D505">
            <w:pPr>
              <w:spacing w:line="240" w:lineRule="auto"/>
              <w:rPr>
                <w:sz w:val="28"/>
                <w:szCs w:val="28"/>
              </w:rPr>
            </w:pPr>
            <w:r>
              <w:rPr>
                <w:rFonts w:ascii="方正黑体_GBK" w:hAnsi="方正黑体_GBK" w:eastAsia="方正黑体_GBK" w:cs="宋体"/>
                <w:sz w:val="20"/>
                <w:szCs w:val="24"/>
              </w:rPr>
              <w:t>96008</w:t>
            </w:r>
          </w:p>
        </w:tc>
      </w:tr>
      <w:tr w14:paraId="128C9201">
        <w:trPr>
          <w:trHeight w:val="300" w:hRule="atLeast"/>
        </w:trPr>
        <w:tc>
          <w:tcPr>
            <w:tcW w:w="2100" w:type="dxa"/>
            <w:tcMar>
              <w:left w:w="120" w:type="dxa"/>
            </w:tcMar>
            <w:vAlign w:val="center"/>
          </w:tcPr>
          <w:p w14:paraId="30BB81A2">
            <w:pPr>
              <w:spacing w:line="240" w:lineRule="auto"/>
              <w:rPr>
                <w:sz w:val="28"/>
                <w:szCs w:val="28"/>
              </w:rPr>
            </w:pPr>
            <w:r>
              <w:rPr>
                <w:rFonts w:ascii="方正黑体_GBK" w:hAnsi="方正黑体_GBK" w:eastAsia="方正黑体_GBK" w:cs="宋体"/>
                <w:sz w:val="20"/>
                <w:szCs w:val="24"/>
              </w:rPr>
              <w:t>江苏扬州农村商业银行股份有限公司</w:t>
            </w:r>
          </w:p>
        </w:tc>
        <w:tc>
          <w:tcPr>
            <w:tcW w:w="4050" w:type="dxa"/>
            <w:tcMar>
              <w:left w:w="120" w:type="dxa"/>
            </w:tcMar>
            <w:vAlign w:val="center"/>
          </w:tcPr>
          <w:p w14:paraId="1B4293DC">
            <w:pPr>
              <w:spacing w:line="240" w:lineRule="auto"/>
              <w:rPr>
                <w:sz w:val="28"/>
                <w:szCs w:val="28"/>
              </w:rPr>
            </w:pPr>
            <w:r>
              <w:rPr>
                <w:rFonts w:ascii="方正黑体_GBK" w:hAnsi="方正黑体_GBK" w:eastAsia="方正黑体_GBK" w:cs="宋体"/>
                <w:sz w:val="20"/>
                <w:szCs w:val="24"/>
              </w:rPr>
              <w:t>江苏省扬州市同泰路107号</w:t>
            </w:r>
          </w:p>
        </w:tc>
        <w:tc>
          <w:tcPr>
            <w:tcW w:w="1350" w:type="dxa"/>
            <w:tcMar>
              <w:left w:w="120" w:type="dxa"/>
            </w:tcMar>
            <w:vAlign w:val="center"/>
          </w:tcPr>
          <w:p w14:paraId="3F109388">
            <w:pPr>
              <w:spacing w:line="240" w:lineRule="auto"/>
              <w:rPr>
                <w:sz w:val="28"/>
                <w:szCs w:val="28"/>
              </w:rPr>
            </w:pPr>
            <w:r>
              <w:rPr>
                <w:rFonts w:ascii="方正黑体_GBK" w:hAnsi="方正黑体_GBK" w:eastAsia="方正黑体_GBK" w:cs="宋体"/>
                <w:sz w:val="20"/>
                <w:szCs w:val="24"/>
              </w:rPr>
              <w:t>96008</w:t>
            </w:r>
          </w:p>
        </w:tc>
      </w:tr>
      <w:tr w14:paraId="0926273B">
        <w:trPr>
          <w:trHeight w:val="300" w:hRule="atLeast"/>
        </w:trPr>
        <w:tc>
          <w:tcPr>
            <w:tcW w:w="2100" w:type="dxa"/>
            <w:tcMar>
              <w:left w:w="120" w:type="dxa"/>
            </w:tcMar>
            <w:vAlign w:val="center"/>
          </w:tcPr>
          <w:p w14:paraId="2A417C73">
            <w:pPr>
              <w:spacing w:line="240" w:lineRule="auto"/>
              <w:rPr>
                <w:sz w:val="28"/>
                <w:szCs w:val="28"/>
              </w:rPr>
            </w:pPr>
            <w:r>
              <w:rPr>
                <w:rFonts w:ascii="方正黑体_GBK" w:hAnsi="方正黑体_GBK" w:eastAsia="方正黑体_GBK" w:cs="宋体"/>
                <w:sz w:val="20"/>
                <w:szCs w:val="24"/>
              </w:rPr>
              <w:t>江苏江都农村商业银行股份有限公司</w:t>
            </w:r>
          </w:p>
        </w:tc>
        <w:tc>
          <w:tcPr>
            <w:tcW w:w="4050" w:type="dxa"/>
            <w:tcMar>
              <w:left w:w="120" w:type="dxa"/>
            </w:tcMar>
            <w:vAlign w:val="center"/>
          </w:tcPr>
          <w:p w14:paraId="4BC388AA">
            <w:pPr>
              <w:spacing w:line="240" w:lineRule="auto"/>
              <w:rPr>
                <w:sz w:val="28"/>
                <w:szCs w:val="28"/>
              </w:rPr>
            </w:pPr>
            <w:r>
              <w:rPr>
                <w:rFonts w:ascii="方正黑体_GBK" w:hAnsi="方正黑体_GBK" w:eastAsia="方正黑体_GBK" w:cs="宋体"/>
                <w:sz w:val="20"/>
                <w:szCs w:val="24"/>
              </w:rPr>
              <w:t>扬州市江都区龙城路21号</w:t>
            </w:r>
          </w:p>
        </w:tc>
        <w:tc>
          <w:tcPr>
            <w:tcW w:w="1350" w:type="dxa"/>
            <w:tcMar>
              <w:left w:w="120" w:type="dxa"/>
            </w:tcMar>
            <w:vAlign w:val="center"/>
          </w:tcPr>
          <w:p w14:paraId="39407E56">
            <w:pPr>
              <w:spacing w:line="240" w:lineRule="auto"/>
              <w:rPr>
                <w:sz w:val="28"/>
                <w:szCs w:val="28"/>
              </w:rPr>
            </w:pPr>
            <w:r>
              <w:rPr>
                <w:rFonts w:ascii="方正黑体_GBK" w:hAnsi="方正黑体_GBK" w:eastAsia="方正黑体_GBK" w:cs="宋体"/>
                <w:sz w:val="20"/>
                <w:szCs w:val="24"/>
              </w:rPr>
              <w:t>96008</w:t>
            </w:r>
          </w:p>
        </w:tc>
      </w:tr>
      <w:tr w14:paraId="0D50766F">
        <w:trPr>
          <w:trHeight w:val="300" w:hRule="atLeast"/>
        </w:trPr>
        <w:tc>
          <w:tcPr>
            <w:tcW w:w="2100" w:type="dxa"/>
            <w:tcMar>
              <w:left w:w="120" w:type="dxa"/>
            </w:tcMar>
            <w:vAlign w:val="center"/>
          </w:tcPr>
          <w:p w14:paraId="19471E2D">
            <w:pPr>
              <w:spacing w:line="240" w:lineRule="auto"/>
              <w:rPr>
                <w:sz w:val="28"/>
                <w:szCs w:val="28"/>
              </w:rPr>
            </w:pPr>
            <w:r>
              <w:rPr>
                <w:rFonts w:ascii="方正黑体_GBK" w:hAnsi="方正黑体_GBK" w:eastAsia="方正黑体_GBK" w:cs="宋体"/>
                <w:sz w:val="20"/>
                <w:szCs w:val="24"/>
              </w:rPr>
              <w:t>江苏淮安农村商业银行股份有限公司</w:t>
            </w:r>
          </w:p>
        </w:tc>
        <w:tc>
          <w:tcPr>
            <w:tcW w:w="4050" w:type="dxa"/>
            <w:tcMar>
              <w:left w:w="120" w:type="dxa"/>
            </w:tcMar>
            <w:vAlign w:val="center"/>
          </w:tcPr>
          <w:p w14:paraId="61B38C59">
            <w:pPr>
              <w:spacing w:line="240" w:lineRule="auto"/>
              <w:rPr>
                <w:sz w:val="28"/>
                <w:szCs w:val="28"/>
              </w:rPr>
            </w:pPr>
            <w:r>
              <w:rPr>
                <w:rFonts w:ascii="方正黑体_GBK" w:hAnsi="方正黑体_GBK" w:eastAsia="方正黑体_GBK" w:cs="宋体"/>
                <w:sz w:val="20"/>
                <w:szCs w:val="24"/>
              </w:rPr>
              <w:t>江苏省淮安市清江浦区水渡口大道20号金融中心B1号楼</w:t>
            </w:r>
          </w:p>
        </w:tc>
        <w:tc>
          <w:tcPr>
            <w:tcW w:w="1350" w:type="dxa"/>
            <w:tcMar>
              <w:left w:w="120" w:type="dxa"/>
            </w:tcMar>
            <w:vAlign w:val="center"/>
          </w:tcPr>
          <w:p w14:paraId="59396D6C">
            <w:pPr>
              <w:spacing w:line="240" w:lineRule="auto"/>
              <w:rPr>
                <w:sz w:val="28"/>
                <w:szCs w:val="28"/>
              </w:rPr>
            </w:pPr>
            <w:r>
              <w:rPr>
                <w:rFonts w:ascii="方正黑体_GBK" w:hAnsi="方正黑体_GBK" w:eastAsia="方正黑体_GBK" w:cs="宋体"/>
                <w:sz w:val="20"/>
                <w:szCs w:val="24"/>
              </w:rPr>
              <w:t>96008</w:t>
            </w:r>
          </w:p>
        </w:tc>
      </w:tr>
      <w:tr w14:paraId="18D0ED97">
        <w:trPr>
          <w:trHeight w:val="300" w:hRule="atLeast"/>
        </w:trPr>
        <w:tc>
          <w:tcPr>
            <w:tcW w:w="2100" w:type="dxa"/>
            <w:tcMar>
              <w:left w:w="120" w:type="dxa"/>
            </w:tcMar>
            <w:vAlign w:val="center"/>
          </w:tcPr>
          <w:p w14:paraId="4C7200E3">
            <w:pPr>
              <w:spacing w:line="240" w:lineRule="auto"/>
              <w:rPr>
                <w:sz w:val="28"/>
                <w:szCs w:val="28"/>
              </w:rPr>
            </w:pPr>
            <w:r>
              <w:rPr>
                <w:rFonts w:ascii="方正黑体_GBK" w:hAnsi="方正黑体_GBK" w:eastAsia="方正黑体_GBK" w:cs="宋体"/>
                <w:sz w:val="20"/>
                <w:szCs w:val="24"/>
              </w:rPr>
              <w:t>江苏大丰农村商业银行股份有限公司</w:t>
            </w:r>
          </w:p>
        </w:tc>
        <w:tc>
          <w:tcPr>
            <w:tcW w:w="4050" w:type="dxa"/>
            <w:tcMar>
              <w:left w:w="120" w:type="dxa"/>
            </w:tcMar>
            <w:vAlign w:val="center"/>
          </w:tcPr>
          <w:p w14:paraId="174ADB14">
            <w:pPr>
              <w:spacing w:line="240" w:lineRule="auto"/>
              <w:rPr>
                <w:sz w:val="28"/>
                <w:szCs w:val="28"/>
              </w:rPr>
            </w:pPr>
            <w:r>
              <w:rPr>
                <w:rFonts w:ascii="方正黑体_GBK" w:hAnsi="方正黑体_GBK" w:eastAsia="方正黑体_GBK" w:cs="宋体"/>
                <w:sz w:val="20"/>
                <w:szCs w:val="24"/>
              </w:rPr>
              <w:t>江苏省盐城市大丰区常新中路9号</w:t>
            </w:r>
          </w:p>
        </w:tc>
        <w:tc>
          <w:tcPr>
            <w:tcW w:w="1350" w:type="dxa"/>
            <w:tcMar>
              <w:left w:w="120" w:type="dxa"/>
            </w:tcMar>
            <w:vAlign w:val="center"/>
          </w:tcPr>
          <w:p w14:paraId="62229354">
            <w:pPr>
              <w:spacing w:line="240" w:lineRule="auto"/>
              <w:rPr>
                <w:sz w:val="28"/>
                <w:szCs w:val="28"/>
              </w:rPr>
            </w:pPr>
            <w:r>
              <w:rPr>
                <w:rFonts w:ascii="方正黑体_GBK" w:hAnsi="方正黑体_GBK" w:eastAsia="方正黑体_GBK" w:cs="宋体"/>
                <w:sz w:val="20"/>
                <w:szCs w:val="24"/>
              </w:rPr>
              <w:t>96008</w:t>
            </w:r>
          </w:p>
        </w:tc>
      </w:tr>
      <w:tr w14:paraId="572C562F">
        <w:trPr>
          <w:trHeight w:val="300" w:hRule="atLeast"/>
        </w:trPr>
        <w:tc>
          <w:tcPr>
            <w:tcW w:w="2100" w:type="dxa"/>
            <w:tcMar>
              <w:left w:w="120" w:type="dxa"/>
            </w:tcMar>
            <w:vAlign w:val="center"/>
          </w:tcPr>
          <w:p w14:paraId="3267AE47">
            <w:pPr>
              <w:spacing w:line="240" w:lineRule="auto"/>
              <w:rPr>
                <w:sz w:val="28"/>
                <w:szCs w:val="28"/>
              </w:rPr>
            </w:pPr>
            <w:r>
              <w:rPr>
                <w:rFonts w:ascii="方正黑体_GBK" w:hAnsi="方正黑体_GBK" w:eastAsia="方正黑体_GBK" w:cs="宋体"/>
                <w:sz w:val="20"/>
                <w:szCs w:val="24"/>
              </w:rPr>
              <w:t>江苏涟水农村商业银行股份有限公司</w:t>
            </w:r>
          </w:p>
        </w:tc>
        <w:tc>
          <w:tcPr>
            <w:tcW w:w="4050" w:type="dxa"/>
            <w:tcMar>
              <w:left w:w="120" w:type="dxa"/>
            </w:tcMar>
            <w:vAlign w:val="center"/>
          </w:tcPr>
          <w:p w14:paraId="0962FC46">
            <w:pPr>
              <w:spacing w:line="240" w:lineRule="auto"/>
              <w:rPr>
                <w:sz w:val="28"/>
                <w:szCs w:val="28"/>
              </w:rPr>
            </w:pPr>
            <w:r>
              <w:rPr>
                <w:rFonts w:ascii="方正黑体_GBK" w:hAnsi="方正黑体_GBK" w:eastAsia="方正黑体_GBK" w:cs="宋体"/>
                <w:sz w:val="20"/>
                <w:szCs w:val="24"/>
              </w:rPr>
              <w:t>淮安市涟水县涟城镇涟州路5号</w:t>
            </w:r>
          </w:p>
        </w:tc>
        <w:tc>
          <w:tcPr>
            <w:tcW w:w="1350" w:type="dxa"/>
            <w:tcMar>
              <w:left w:w="120" w:type="dxa"/>
            </w:tcMar>
            <w:vAlign w:val="center"/>
          </w:tcPr>
          <w:p w14:paraId="0A9BCC88">
            <w:pPr>
              <w:spacing w:line="240" w:lineRule="auto"/>
              <w:rPr>
                <w:sz w:val="28"/>
                <w:szCs w:val="28"/>
              </w:rPr>
            </w:pPr>
            <w:r>
              <w:rPr>
                <w:rFonts w:ascii="方正黑体_GBK" w:hAnsi="方正黑体_GBK" w:eastAsia="方正黑体_GBK" w:cs="宋体"/>
                <w:sz w:val="20"/>
                <w:szCs w:val="24"/>
              </w:rPr>
              <w:t>96008</w:t>
            </w:r>
          </w:p>
        </w:tc>
      </w:tr>
      <w:tr w14:paraId="3C0F77BD">
        <w:trPr>
          <w:trHeight w:val="300" w:hRule="atLeast"/>
        </w:trPr>
        <w:tc>
          <w:tcPr>
            <w:tcW w:w="2100" w:type="dxa"/>
            <w:tcMar>
              <w:left w:w="120" w:type="dxa"/>
            </w:tcMar>
            <w:vAlign w:val="center"/>
          </w:tcPr>
          <w:p w14:paraId="07B3E775">
            <w:pPr>
              <w:spacing w:line="240" w:lineRule="auto"/>
              <w:rPr>
                <w:sz w:val="28"/>
                <w:szCs w:val="28"/>
              </w:rPr>
            </w:pPr>
            <w:r>
              <w:rPr>
                <w:rFonts w:ascii="方正黑体_GBK" w:hAnsi="方正黑体_GBK" w:eastAsia="方正黑体_GBK" w:cs="宋体"/>
                <w:sz w:val="20"/>
                <w:szCs w:val="24"/>
              </w:rPr>
              <w:t>江苏兴化农村商业银行股份有限公司</w:t>
            </w:r>
          </w:p>
        </w:tc>
        <w:tc>
          <w:tcPr>
            <w:tcW w:w="4050" w:type="dxa"/>
            <w:tcMar>
              <w:left w:w="120" w:type="dxa"/>
            </w:tcMar>
            <w:vAlign w:val="center"/>
          </w:tcPr>
          <w:p w14:paraId="07C1A6C8">
            <w:pPr>
              <w:spacing w:line="240" w:lineRule="auto"/>
              <w:rPr>
                <w:sz w:val="28"/>
                <w:szCs w:val="28"/>
              </w:rPr>
            </w:pPr>
            <w:r>
              <w:rPr>
                <w:rFonts w:ascii="方正黑体_GBK" w:hAnsi="方正黑体_GBK" w:eastAsia="方正黑体_GBK" w:cs="宋体"/>
                <w:sz w:val="20"/>
                <w:szCs w:val="24"/>
              </w:rPr>
              <w:t>江苏省兴化市长安南路999号</w:t>
            </w:r>
          </w:p>
        </w:tc>
        <w:tc>
          <w:tcPr>
            <w:tcW w:w="1350" w:type="dxa"/>
            <w:tcMar>
              <w:left w:w="120" w:type="dxa"/>
            </w:tcMar>
            <w:vAlign w:val="center"/>
          </w:tcPr>
          <w:p w14:paraId="7B63CF24">
            <w:pPr>
              <w:spacing w:line="240" w:lineRule="auto"/>
              <w:rPr>
                <w:sz w:val="28"/>
                <w:szCs w:val="28"/>
              </w:rPr>
            </w:pPr>
            <w:r>
              <w:rPr>
                <w:rFonts w:ascii="方正黑体_GBK" w:hAnsi="方正黑体_GBK" w:eastAsia="方正黑体_GBK" w:cs="宋体"/>
                <w:sz w:val="20"/>
                <w:szCs w:val="24"/>
              </w:rPr>
              <w:t>96008</w:t>
            </w:r>
          </w:p>
        </w:tc>
      </w:tr>
      <w:tr w14:paraId="793C6A6B">
        <w:trPr>
          <w:trHeight w:val="300" w:hRule="atLeast"/>
        </w:trPr>
        <w:tc>
          <w:tcPr>
            <w:tcW w:w="2100" w:type="dxa"/>
            <w:tcMar>
              <w:left w:w="120" w:type="dxa"/>
            </w:tcMar>
            <w:vAlign w:val="center"/>
          </w:tcPr>
          <w:p w14:paraId="7FEAAC5B">
            <w:pPr>
              <w:spacing w:line="240" w:lineRule="auto"/>
              <w:rPr>
                <w:sz w:val="28"/>
                <w:szCs w:val="28"/>
              </w:rPr>
            </w:pPr>
            <w:r>
              <w:rPr>
                <w:rFonts w:ascii="方正黑体_GBK" w:hAnsi="方正黑体_GBK" w:eastAsia="方正黑体_GBK" w:cs="宋体"/>
                <w:sz w:val="20"/>
                <w:szCs w:val="24"/>
              </w:rPr>
              <w:t>江苏镇江农村商业银行股份有限公司</w:t>
            </w:r>
          </w:p>
        </w:tc>
        <w:tc>
          <w:tcPr>
            <w:tcW w:w="4050" w:type="dxa"/>
            <w:tcMar>
              <w:left w:w="120" w:type="dxa"/>
            </w:tcMar>
            <w:vAlign w:val="center"/>
          </w:tcPr>
          <w:p w14:paraId="4A63005F">
            <w:pPr>
              <w:spacing w:line="240" w:lineRule="auto"/>
              <w:rPr>
                <w:sz w:val="28"/>
                <w:szCs w:val="28"/>
              </w:rPr>
            </w:pPr>
            <w:r>
              <w:rPr>
                <w:rFonts w:ascii="方正黑体_GBK" w:hAnsi="方正黑体_GBK" w:eastAsia="方正黑体_GBK" w:cs="宋体"/>
                <w:sz w:val="20"/>
                <w:szCs w:val="24"/>
              </w:rPr>
              <w:t>江苏省镇江市润州区长江路97号</w:t>
            </w:r>
          </w:p>
        </w:tc>
        <w:tc>
          <w:tcPr>
            <w:tcW w:w="1350" w:type="dxa"/>
            <w:tcMar>
              <w:left w:w="120" w:type="dxa"/>
            </w:tcMar>
            <w:vAlign w:val="center"/>
          </w:tcPr>
          <w:p w14:paraId="32C7765A">
            <w:pPr>
              <w:spacing w:line="240" w:lineRule="auto"/>
              <w:rPr>
                <w:sz w:val="28"/>
                <w:szCs w:val="28"/>
              </w:rPr>
            </w:pPr>
            <w:r>
              <w:rPr>
                <w:rFonts w:ascii="方正黑体_GBK" w:hAnsi="方正黑体_GBK" w:eastAsia="方正黑体_GBK" w:cs="宋体"/>
                <w:sz w:val="20"/>
                <w:szCs w:val="24"/>
              </w:rPr>
              <w:t>96008</w:t>
            </w:r>
          </w:p>
        </w:tc>
      </w:tr>
      <w:tr w14:paraId="133C7E9E">
        <w:trPr>
          <w:trHeight w:val="300" w:hRule="atLeast"/>
        </w:trPr>
        <w:tc>
          <w:tcPr>
            <w:tcW w:w="2100" w:type="dxa"/>
            <w:tcMar>
              <w:left w:w="120" w:type="dxa"/>
            </w:tcMar>
            <w:vAlign w:val="center"/>
          </w:tcPr>
          <w:p w14:paraId="0FB70DA8">
            <w:pPr>
              <w:spacing w:line="240" w:lineRule="auto"/>
              <w:rPr>
                <w:sz w:val="28"/>
                <w:szCs w:val="28"/>
              </w:rPr>
            </w:pPr>
            <w:r>
              <w:rPr>
                <w:rFonts w:ascii="方正黑体_GBK" w:hAnsi="方正黑体_GBK" w:eastAsia="方正黑体_GBK" w:cs="宋体"/>
                <w:sz w:val="20"/>
                <w:szCs w:val="24"/>
              </w:rPr>
              <w:t>江苏如皋农村商业银行股份有限公司</w:t>
            </w:r>
          </w:p>
        </w:tc>
        <w:tc>
          <w:tcPr>
            <w:tcW w:w="4050" w:type="dxa"/>
            <w:tcMar>
              <w:left w:w="120" w:type="dxa"/>
            </w:tcMar>
            <w:vAlign w:val="center"/>
          </w:tcPr>
          <w:p w14:paraId="2AB6D2F7">
            <w:pPr>
              <w:spacing w:line="240" w:lineRule="auto"/>
              <w:rPr>
                <w:sz w:val="28"/>
                <w:szCs w:val="28"/>
              </w:rPr>
            </w:pPr>
            <w:r>
              <w:rPr>
                <w:rFonts w:ascii="方正黑体_GBK" w:hAnsi="方正黑体_GBK" w:eastAsia="方正黑体_GBK" w:cs="宋体"/>
                <w:sz w:val="20"/>
                <w:szCs w:val="24"/>
              </w:rPr>
              <w:t>如皋市如城街道海阳南路999号</w:t>
            </w:r>
          </w:p>
        </w:tc>
        <w:tc>
          <w:tcPr>
            <w:tcW w:w="1350" w:type="dxa"/>
            <w:tcMar>
              <w:left w:w="120" w:type="dxa"/>
            </w:tcMar>
            <w:vAlign w:val="center"/>
          </w:tcPr>
          <w:p w14:paraId="79FAA75E">
            <w:pPr>
              <w:spacing w:line="240" w:lineRule="auto"/>
              <w:rPr>
                <w:sz w:val="28"/>
                <w:szCs w:val="28"/>
              </w:rPr>
            </w:pPr>
            <w:r>
              <w:rPr>
                <w:rFonts w:ascii="方正黑体_GBK" w:hAnsi="方正黑体_GBK" w:eastAsia="方正黑体_GBK" w:cs="宋体"/>
                <w:sz w:val="20"/>
                <w:szCs w:val="24"/>
              </w:rPr>
              <w:t>96008</w:t>
            </w:r>
          </w:p>
        </w:tc>
      </w:tr>
      <w:tr w14:paraId="1DA0CE41">
        <w:trPr>
          <w:trHeight w:val="300" w:hRule="atLeast"/>
        </w:trPr>
        <w:tc>
          <w:tcPr>
            <w:tcW w:w="2100" w:type="dxa"/>
            <w:tcMar>
              <w:left w:w="120" w:type="dxa"/>
            </w:tcMar>
            <w:vAlign w:val="center"/>
          </w:tcPr>
          <w:p w14:paraId="6D1C3E30">
            <w:pPr>
              <w:spacing w:line="240" w:lineRule="auto"/>
              <w:rPr>
                <w:sz w:val="28"/>
                <w:szCs w:val="28"/>
              </w:rPr>
            </w:pPr>
            <w:r>
              <w:rPr>
                <w:rFonts w:ascii="方正黑体_GBK" w:hAnsi="方正黑体_GBK" w:eastAsia="方正黑体_GBK" w:cs="宋体"/>
                <w:sz w:val="20"/>
                <w:szCs w:val="24"/>
              </w:rPr>
              <w:t>江苏宝应农村商业银行股份有限公司</w:t>
            </w:r>
          </w:p>
        </w:tc>
        <w:tc>
          <w:tcPr>
            <w:tcW w:w="4050" w:type="dxa"/>
            <w:tcMar>
              <w:left w:w="120" w:type="dxa"/>
            </w:tcMar>
            <w:vAlign w:val="center"/>
          </w:tcPr>
          <w:p w14:paraId="284EE3BE">
            <w:pPr>
              <w:spacing w:line="240" w:lineRule="auto"/>
              <w:rPr>
                <w:sz w:val="28"/>
                <w:szCs w:val="28"/>
              </w:rPr>
            </w:pPr>
            <w:r>
              <w:rPr>
                <w:rFonts w:ascii="方正黑体_GBK" w:hAnsi="方正黑体_GBK" w:eastAsia="方正黑体_GBK" w:cs="宋体"/>
                <w:sz w:val="20"/>
                <w:szCs w:val="24"/>
              </w:rPr>
              <w:t>江苏省宝应县文津路1号</w:t>
            </w:r>
          </w:p>
        </w:tc>
        <w:tc>
          <w:tcPr>
            <w:tcW w:w="1350" w:type="dxa"/>
            <w:tcMar>
              <w:left w:w="120" w:type="dxa"/>
            </w:tcMar>
            <w:vAlign w:val="center"/>
          </w:tcPr>
          <w:p w14:paraId="0AD84E3D">
            <w:pPr>
              <w:spacing w:line="240" w:lineRule="auto"/>
              <w:rPr>
                <w:sz w:val="28"/>
                <w:szCs w:val="28"/>
              </w:rPr>
            </w:pPr>
            <w:r>
              <w:rPr>
                <w:rFonts w:ascii="方正黑体_GBK" w:hAnsi="方正黑体_GBK" w:eastAsia="方正黑体_GBK" w:cs="宋体"/>
                <w:sz w:val="20"/>
                <w:szCs w:val="24"/>
              </w:rPr>
              <w:t>96008</w:t>
            </w:r>
          </w:p>
        </w:tc>
      </w:tr>
      <w:tr w14:paraId="7E561CE2">
        <w:trPr>
          <w:trHeight w:val="300" w:hRule="atLeast"/>
        </w:trPr>
        <w:tc>
          <w:tcPr>
            <w:tcW w:w="2100" w:type="dxa"/>
            <w:tcMar>
              <w:left w:w="120" w:type="dxa"/>
            </w:tcMar>
            <w:vAlign w:val="center"/>
          </w:tcPr>
          <w:p w14:paraId="41D93553">
            <w:pPr>
              <w:spacing w:line="240" w:lineRule="auto"/>
              <w:rPr>
                <w:sz w:val="28"/>
                <w:szCs w:val="28"/>
              </w:rPr>
            </w:pPr>
            <w:r>
              <w:rPr>
                <w:rFonts w:ascii="方正黑体_GBK" w:hAnsi="方正黑体_GBK" w:eastAsia="方正黑体_GBK" w:cs="宋体"/>
                <w:sz w:val="20"/>
                <w:szCs w:val="24"/>
              </w:rPr>
              <w:t>徐州农村商业银行股份有限公司</w:t>
            </w:r>
          </w:p>
        </w:tc>
        <w:tc>
          <w:tcPr>
            <w:tcW w:w="4050" w:type="dxa"/>
            <w:tcMar>
              <w:left w:w="120" w:type="dxa"/>
            </w:tcMar>
            <w:vAlign w:val="center"/>
          </w:tcPr>
          <w:p w14:paraId="7849DE1D">
            <w:pPr>
              <w:spacing w:line="240" w:lineRule="auto"/>
              <w:rPr>
                <w:sz w:val="28"/>
                <w:szCs w:val="28"/>
              </w:rPr>
            </w:pPr>
            <w:r>
              <w:rPr>
                <w:rFonts w:ascii="方正黑体_GBK" w:hAnsi="方正黑体_GBK" w:eastAsia="方正黑体_GBK" w:cs="宋体"/>
                <w:sz w:val="20"/>
                <w:szCs w:val="24"/>
              </w:rPr>
              <w:t>徐州市铜山区北京南路26号</w:t>
            </w:r>
          </w:p>
        </w:tc>
        <w:tc>
          <w:tcPr>
            <w:tcW w:w="1350" w:type="dxa"/>
            <w:tcMar>
              <w:left w:w="120" w:type="dxa"/>
            </w:tcMar>
            <w:vAlign w:val="center"/>
          </w:tcPr>
          <w:p w14:paraId="7B28A148">
            <w:pPr>
              <w:spacing w:line="240" w:lineRule="auto"/>
              <w:rPr>
                <w:sz w:val="28"/>
                <w:szCs w:val="28"/>
              </w:rPr>
            </w:pPr>
            <w:r>
              <w:rPr>
                <w:rFonts w:ascii="方正黑体_GBK" w:hAnsi="方正黑体_GBK" w:eastAsia="方正黑体_GBK" w:cs="宋体"/>
                <w:sz w:val="20"/>
                <w:szCs w:val="24"/>
              </w:rPr>
              <w:t>96008</w:t>
            </w:r>
          </w:p>
        </w:tc>
      </w:tr>
      <w:tr w14:paraId="163DBAD3">
        <w:trPr>
          <w:trHeight w:val="300" w:hRule="atLeast"/>
        </w:trPr>
        <w:tc>
          <w:tcPr>
            <w:tcW w:w="2100" w:type="dxa"/>
            <w:tcMar>
              <w:left w:w="120" w:type="dxa"/>
            </w:tcMar>
            <w:vAlign w:val="center"/>
          </w:tcPr>
          <w:p w14:paraId="700D6C23">
            <w:pPr>
              <w:spacing w:line="240" w:lineRule="auto"/>
              <w:rPr>
                <w:sz w:val="28"/>
                <w:szCs w:val="28"/>
              </w:rPr>
            </w:pPr>
            <w:r>
              <w:rPr>
                <w:rFonts w:ascii="方正黑体_GBK" w:hAnsi="方正黑体_GBK" w:eastAsia="方正黑体_GBK" w:cs="宋体"/>
                <w:sz w:val="20"/>
                <w:szCs w:val="24"/>
              </w:rPr>
              <w:t>海南银行股份有限公司</w:t>
            </w:r>
          </w:p>
        </w:tc>
        <w:tc>
          <w:tcPr>
            <w:tcW w:w="4050" w:type="dxa"/>
            <w:tcMar>
              <w:left w:w="120" w:type="dxa"/>
            </w:tcMar>
            <w:vAlign w:val="center"/>
          </w:tcPr>
          <w:p w14:paraId="72AF6C0B">
            <w:pPr>
              <w:spacing w:line="240" w:lineRule="auto"/>
              <w:rPr>
                <w:sz w:val="28"/>
                <w:szCs w:val="28"/>
              </w:rPr>
            </w:pPr>
            <w:r>
              <w:rPr>
                <w:rFonts w:ascii="方正黑体_GBK" w:hAnsi="方正黑体_GBK" w:eastAsia="方正黑体_GBK" w:cs="宋体"/>
                <w:sz w:val="20"/>
                <w:szCs w:val="24"/>
              </w:rPr>
              <w:t>海南省海口市龙华区海秀东路31号</w:t>
            </w:r>
          </w:p>
        </w:tc>
        <w:tc>
          <w:tcPr>
            <w:tcW w:w="1350" w:type="dxa"/>
            <w:tcMar>
              <w:left w:w="120" w:type="dxa"/>
            </w:tcMar>
            <w:vAlign w:val="center"/>
          </w:tcPr>
          <w:p w14:paraId="5FF0D7BD">
            <w:pPr>
              <w:spacing w:line="240" w:lineRule="auto"/>
              <w:rPr>
                <w:sz w:val="28"/>
                <w:szCs w:val="28"/>
              </w:rPr>
            </w:pPr>
            <w:r>
              <w:rPr>
                <w:rFonts w:ascii="方正黑体_GBK" w:hAnsi="方正黑体_GBK" w:eastAsia="方正黑体_GBK" w:cs="宋体"/>
                <w:sz w:val="20"/>
                <w:szCs w:val="24"/>
              </w:rPr>
              <w:t>0898-66505978</w:t>
            </w:r>
          </w:p>
        </w:tc>
      </w:tr>
      <w:tr w14:paraId="3C8D084E">
        <w:trPr>
          <w:trHeight w:val="300" w:hRule="atLeast"/>
        </w:trPr>
        <w:tc>
          <w:tcPr>
            <w:tcW w:w="2100" w:type="dxa"/>
            <w:tcMar>
              <w:left w:w="120" w:type="dxa"/>
            </w:tcMar>
            <w:vAlign w:val="center"/>
          </w:tcPr>
          <w:p w14:paraId="4726F9F9">
            <w:pPr>
              <w:spacing w:line="240" w:lineRule="auto"/>
              <w:rPr>
                <w:sz w:val="28"/>
                <w:szCs w:val="28"/>
              </w:rPr>
            </w:pPr>
            <w:r>
              <w:rPr>
                <w:rFonts w:ascii="方正黑体_GBK" w:hAnsi="方正黑体_GBK" w:eastAsia="方正黑体_GBK" w:cs="宋体"/>
                <w:sz w:val="20"/>
                <w:szCs w:val="24"/>
              </w:rPr>
              <w:t>江苏丰县农村商业银行股份有限公司</w:t>
            </w:r>
          </w:p>
        </w:tc>
        <w:tc>
          <w:tcPr>
            <w:tcW w:w="4050" w:type="dxa"/>
            <w:tcMar>
              <w:left w:w="120" w:type="dxa"/>
            </w:tcMar>
            <w:vAlign w:val="center"/>
          </w:tcPr>
          <w:p w14:paraId="1FEE07C4">
            <w:pPr>
              <w:spacing w:line="240" w:lineRule="auto"/>
              <w:rPr>
                <w:sz w:val="28"/>
                <w:szCs w:val="28"/>
              </w:rPr>
            </w:pPr>
            <w:r>
              <w:rPr>
                <w:rFonts w:ascii="方正黑体_GBK" w:hAnsi="方正黑体_GBK" w:eastAsia="方正黑体_GBK" w:cs="宋体"/>
                <w:sz w:val="20"/>
                <w:szCs w:val="24"/>
              </w:rPr>
              <w:t>江苏省丰县人民中路9号</w:t>
            </w:r>
          </w:p>
        </w:tc>
        <w:tc>
          <w:tcPr>
            <w:tcW w:w="1350" w:type="dxa"/>
            <w:tcMar>
              <w:left w:w="120" w:type="dxa"/>
            </w:tcMar>
            <w:vAlign w:val="center"/>
          </w:tcPr>
          <w:p w14:paraId="0B26AEEC">
            <w:pPr>
              <w:spacing w:line="240" w:lineRule="auto"/>
              <w:rPr>
                <w:sz w:val="28"/>
                <w:szCs w:val="28"/>
              </w:rPr>
            </w:pPr>
            <w:r>
              <w:rPr>
                <w:rFonts w:ascii="方正黑体_GBK" w:hAnsi="方正黑体_GBK" w:eastAsia="方正黑体_GBK" w:cs="宋体"/>
                <w:sz w:val="20"/>
                <w:szCs w:val="24"/>
              </w:rPr>
              <w:t>96008</w:t>
            </w:r>
          </w:p>
        </w:tc>
      </w:tr>
      <w:tr w14:paraId="12478676">
        <w:trPr>
          <w:trHeight w:val="300" w:hRule="atLeast"/>
        </w:trPr>
        <w:tc>
          <w:tcPr>
            <w:tcW w:w="2100" w:type="dxa"/>
            <w:tcMar>
              <w:left w:w="120" w:type="dxa"/>
            </w:tcMar>
            <w:vAlign w:val="center"/>
          </w:tcPr>
          <w:p w14:paraId="6B6192AE">
            <w:pPr>
              <w:spacing w:line="240" w:lineRule="auto"/>
              <w:rPr>
                <w:sz w:val="28"/>
                <w:szCs w:val="28"/>
              </w:rPr>
            </w:pPr>
            <w:r>
              <w:rPr>
                <w:rFonts w:ascii="方正黑体_GBK" w:hAnsi="方正黑体_GBK" w:eastAsia="方正黑体_GBK" w:cs="宋体"/>
                <w:sz w:val="20"/>
                <w:szCs w:val="24"/>
              </w:rPr>
              <w:t>江苏射阳农村商业银行股份有限公司</w:t>
            </w:r>
          </w:p>
        </w:tc>
        <w:tc>
          <w:tcPr>
            <w:tcW w:w="4050" w:type="dxa"/>
            <w:tcMar>
              <w:left w:w="120" w:type="dxa"/>
            </w:tcMar>
            <w:vAlign w:val="center"/>
          </w:tcPr>
          <w:p w14:paraId="6553781C">
            <w:pPr>
              <w:spacing w:line="240" w:lineRule="auto"/>
              <w:rPr>
                <w:sz w:val="28"/>
                <w:szCs w:val="28"/>
              </w:rPr>
            </w:pPr>
            <w:r>
              <w:rPr>
                <w:rFonts w:ascii="方正黑体_GBK" w:hAnsi="方正黑体_GBK" w:eastAsia="方正黑体_GBK" w:cs="宋体"/>
                <w:sz w:val="20"/>
                <w:szCs w:val="24"/>
              </w:rPr>
              <w:t>射阳县合德镇解放路385号</w:t>
            </w:r>
          </w:p>
        </w:tc>
        <w:tc>
          <w:tcPr>
            <w:tcW w:w="1350" w:type="dxa"/>
            <w:tcMar>
              <w:left w:w="120" w:type="dxa"/>
            </w:tcMar>
            <w:vAlign w:val="center"/>
          </w:tcPr>
          <w:p w14:paraId="491C77B4">
            <w:pPr>
              <w:spacing w:line="240" w:lineRule="auto"/>
              <w:rPr>
                <w:sz w:val="28"/>
                <w:szCs w:val="28"/>
              </w:rPr>
            </w:pPr>
            <w:r>
              <w:rPr>
                <w:rFonts w:ascii="方正黑体_GBK" w:hAnsi="方正黑体_GBK" w:eastAsia="方正黑体_GBK" w:cs="宋体"/>
                <w:sz w:val="20"/>
                <w:szCs w:val="24"/>
              </w:rPr>
              <w:t>96008</w:t>
            </w:r>
          </w:p>
        </w:tc>
      </w:tr>
      <w:tr w14:paraId="72352671">
        <w:trPr>
          <w:trHeight w:val="300" w:hRule="atLeast"/>
        </w:trPr>
        <w:tc>
          <w:tcPr>
            <w:tcW w:w="2100" w:type="dxa"/>
            <w:tcMar>
              <w:left w:w="120" w:type="dxa"/>
            </w:tcMar>
            <w:vAlign w:val="center"/>
          </w:tcPr>
          <w:p w14:paraId="4763FD66">
            <w:pPr>
              <w:spacing w:line="240" w:lineRule="auto"/>
              <w:rPr>
                <w:sz w:val="28"/>
                <w:szCs w:val="28"/>
              </w:rPr>
            </w:pPr>
            <w:r>
              <w:rPr>
                <w:rFonts w:ascii="方正黑体_GBK" w:hAnsi="方正黑体_GBK" w:eastAsia="方正黑体_GBK" w:cs="宋体"/>
                <w:sz w:val="20"/>
                <w:szCs w:val="24"/>
              </w:rPr>
              <w:t>江苏句容农村商业银行股份有限公司</w:t>
            </w:r>
          </w:p>
        </w:tc>
        <w:tc>
          <w:tcPr>
            <w:tcW w:w="4050" w:type="dxa"/>
            <w:tcMar>
              <w:left w:w="120" w:type="dxa"/>
            </w:tcMar>
            <w:vAlign w:val="center"/>
          </w:tcPr>
          <w:p w14:paraId="3D666F12">
            <w:pPr>
              <w:spacing w:line="240" w:lineRule="auto"/>
              <w:rPr>
                <w:sz w:val="28"/>
                <w:szCs w:val="28"/>
              </w:rPr>
            </w:pPr>
            <w:r>
              <w:rPr>
                <w:rFonts w:ascii="方正黑体_GBK" w:hAnsi="方正黑体_GBK" w:eastAsia="方正黑体_GBK" w:cs="宋体"/>
                <w:sz w:val="20"/>
                <w:szCs w:val="24"/>
              </w:rPr>
              <w:t>江苏省句容市福地东路66号</w:t>
            </w:r>
          </w:p>
        </w:tc>
        <w:tc>
          <w:tcPr>
            <w:tcW w:w="1350" w:type="dxa"/>
            <w:tcMar>
              <w:left w:w="120" w:type="dxa"/>
            </w:tcMar>
            <w:vAlign w:val="center"/>
          </w:tcPr>
          <w:p w14:paraId="286161C0">
            <w:pPr>
              <w:spacing w:line="240" w:lineRule="auto"/>
              <w:rPr>
                <w:sz w:val="28"/>
                <w:szCs w:val="28"/>
              </w:rPr>
            </w:pPr>
            <w:r>
              <w:rPr>
                <w:rFonts w:ascii="方正黑体_GBK" w:hAnsi="方正黑体_GBK" w:eastAsia="方正黑体_GBK" w:cs="宋体"/>
                <w:sz w:val="20"/>
                <w:szCs w:val="24"/>
              </w:rPr>
              <w:t>96008</w:t>
            </w:r>
          </w:p>
        </w:tc>
      </w:tr>
      <w:tr w14:paraId="7BD9177C">
        <w:trPr>
          <w:trHeight w:val="300" w:hRule="atLeast"/>
        </w:trPr>
        <w:tc>
          <w:tcPr>
            <w:tcW w:w="2100" w:type="dxa"/>
            <w:tcMar>
              <w:left w:w="120" w:type="dxa"/>
            </w:tcMar>
            <w:vAlign w:val="center"/>
          </w:tcPr>
          <w:p w14:paraId="640EF71D">
            <w:pPr>
              <w:spacing w:line="240" w:lineRule="auto"/>
              <w:rPr>
                <w:sz w:val="28"/>
                <w:szCs w:val="28"/>
              </w:rPr>
            </w:pPr>
            <w:r>
              <w:rPr>
                <w:rFonts w:ascii="方正黑体_GBK" w:hAnsi="方正黑体_GBK" w:eastAsia="方正黑体_GBK" w:cs="宋体"/>
                <w:sz w:val="20"/>
                <w:szCs w:val="24"/>
              </w:rPr>
              <w:t>江苏泗洪农村商业银行股份有限公司</w:t>
            </w:r>
          </w:p>
        </w:tc>
        <w:tc>
          <w:tcPr>
            <w:tcW w:w="4050" w:type="dxa"/>
            <w:tcMar>
              <w:left w:w="120" w:type="dxa"/>
            </w:tcMar>
            <w:vAlign w:val="center"/>
          </w:tcPr>
          <w:p w14:paraId="78942926">
            <w:pPr>
              <w:spacing w:line="240" w:lineRule="auto"/>
              <w:rPr>
                <w:sz w:val="28"/>
                <w:szCs w:val="28"/>
              </w:rPr>
            </w:pPr>
            <w:r>
              <w:rPr>
                <w:rFonts w:ascii="方正黑体_GBK" w:hAnsi="方正黑体_GBK" w:eastAsia="方正黑体_GBK" w:cs="宋体"/>
                <w:sz w:val="20"/>
                <w:szCs w:val="24"/>
              </w:rPr>
              <w:t>江苏省宿迁市泗洪县长江东路17号</w:t>
            </w:r>
          </w:p>
        </w:tc>
        <w:tc>
          <w:tcPr>
            <w:tcW w:w="1350" w:type="dxa"/>
            <w:tcMar>
              <w:left w:w="120" w:type="dxa"/>
            </w:tcMar>
            <w:vAlign w:val="center"/>
          </w:tcPr>
          <w:p w14:paraId="6ABAE4D0">
            <w:pPr>
              <w:spacing w:line="240" w:lineRule="auto"/>
              <w:rPr>
                <w:sz w:val="28"/>
                <w:szCs w:val="28"/>
              </w:rPr>
            </w:pPr>
            <w:r>
              <w:rPr>
                <w:rFonts w:ascii="方正黑体_GBK" w:hAnsi="方正黑体_GBK" w:eastAsia="方正黑体_GBK" w:cs="宋体"/>
                <w:sz w:val="20"/>
                <w:szCs w:val="24"/>
              </w:rPr>
              <w:t>96008</w:t>
            </w:r>
          </w:p>
        </w:tc>
      </w:tr>
      <w:tr w14:paraId="0D0CCCC8">
        <w:trPr>
          <w:trHeight w:val="300" w:hRule="atLeast"/>
        </w:trPr>
        <w:tc>
          <w:tcPr>
            <w:tcW w:w="2100" w:type="dxa"/>
            <w:tcMar>
              <w:left w:w="120" w:type="dxa"/>
            </w:tcMar>
            <w:vAlign w:val="center"/>
          </w:tcPr>
          <w:p w14:paraId="5BCC2D08">
            <w:pPr>
              <w:spacing w:line="240" w:lineRule="auto"/>
              <w:rPr>
                <w:sz w:val="28"/>
                <w:szCs w:val="28"/>
              </w:rPr>
            </w:pPr>
            <w:r>
              <w:rPr>
                <w:rFonts w:ascii="方正黑体_GBK" w:hAnsi="方正黑体_GBK" w:eastAsia="方正黑体_GBK" w:cs="宋体"/>
                <w:sz w:val="20"/>
                <w:szCs w:val="24"/>
              </w:rPr>
              <w:t>江苏泗阳农村商业银行股份有限公司</w:t>
            </w:r>
          </w:p>
        </w:tc>
        <w:tc>
          <w:tcPr>
            <w:tcW w:w="4050" w:type="dxa"/>
            <w:tcMar>
              <w:left w:w="120" w:type="dxa"/>
            </w:tcMar>
            <w:vAlign w:val="center"/>
          </w:tcPr>
          <w:p w14:paraId="53CB73FE">
            <w:pPr>
              <w:spacing w:line="240" w:lineRule="auto"/>
              <w:rPr>
                <w:sz w:val="28"/>
                <w:szCs w:val="28"/>
              </w:rPr>
            </w:pPr>
            <w:r>
              <w:rPr>
                <w:rFonts w:ascii="方正黑体_GBK" w:hAnsi="方正黑体_GBK" w:eastAsia="方正黑体_GBK" w:cs="宋体"/>
                <w:sz w:val="20"/>
                <w:szCs w:val="24"/>
              </w:rPr>
              <w:t>宿迁市泗阳县众兴镇北京中路21号</w:t>
            </w:r>
          </w:p>
        </w:tc>
        <w:tc>
          <w:tcPr>
            <w:tcW w:w="1350" w:type="dxa"/>
            <w:tcMar>
              <w:left w:w="120" w:type="dxa"/>
            </w:tcMar>
            <w:vAlign w:val="center"/>
          </w:tcPr>
          <w:p w14:paraId="6403DD05">
            <w:pPr>
              <w:spacing w:line="240" w:lineRule="auto"/>
              <w:rPr>
                <w:sz w:val="28"/>
                <w:szCs w:val="28"/>
              </w:rPr>
            </w:pPr>
            <w:r>
              <w:rPr>
                <w:rFonts w:ascii="方正黑体_GBK" w:hAnsi="方正黑体_GBK" w:eastAsia="方正黑体_GBK" w:cs="宋体"/>
                <w:sz w:val="20"/>
                <w:szCs w:val="24"/>
              </w:rPr>
              <w:t>96008</w:t>
            </w:r>
          </w:p>
        </w:tc>
      </w:tr>
      <w:tr w14:paraId="2D11B3E9">
        <w:trPr>
          <w:trHeight w:val="300" w:hRule="atLeast"/>
        </w:trPr>
        <w:tc>
          <w:tcPr>
            <w:tcW w:w="2100" w:type="dxa"/>
            <w:tcMar>
              <w:left w:w="120" w:type="dxa"/>
            </w:tcMar>
            <w:vAlign w:val="center"/>
          </w:tcPr>
          <w:p w14:paraId="42F84759">
            <w:pPr>
              <w:spacing w:line="240" w:lineRule="auto"/>
              <w:rPr>
                <w:sz w:val="28"/>
                <w:szCs w:val="28"/>
              </w:rPr>
            </w:pPr>
            <w:r>
              <w:rPr>
                <w:rFonts w:ascii="方正黑体_GBK" w:hAnsi="方正黑体_GBK" w:eastAsia="方正黑体_GBK" w:cs="宋体"/>
                <w:sz w:val="20"/>
                <w:szCs w:val="24"/>
              </w:rPr>
              <w:t>江苏张家港农村商业银行股份有限公司</w:t>
            </w:r>
          </w:p>
        </w:tc>
        <w:tc>
          <w:tcPr>
            <w:tcW w:w="4050" w:type="dxa"/>
            <w:tcMar>
              <w:left w:w="120" w:type="dxa"/>
            </w:tcMar>
            <w:vAlign w:val="center"/>
          </w:tcPr>
          <w:p w14:paraId="5FF00156">
            <w:pPr>
              <w:spacing w:line="240" w:lineRule="auto"/>
              <w:rPr>
                <w:sz w:val="28"/>
                <w:szCs w:val="28"/>
              </w:rPr>
            </w:pPr>
            <w:r>
              <w:rPr>
                <w:rFonts w:ascii="方正黑体_GBK" w:hAnsi="方正黑体_GBK" w:eastAsia="方正黑体_GBK" w:cs="宋体"/>
                <w:sz w:val="20"/>
                <w:szCs w:val="24"/>
              </w:rPr>
              <w:t>张家港市杨舍镇人民中路66号</w:t>
            </w:r>
          </w:p>
        </w:tc>
        <w:tc>
          <w:tcPr>
            <w:tcW w:w="1350" w:type="dxa"/>
            <w:tcMar>
              <w:left w:w="120" w:type="dxa"/>
            </w:tcMar>
            <w:vAlign w:val="center"/>
          </w:tcPr>
          <w:p w14:paraId="6B732B31">
            <w:pPr>
              <w:spacing w:line="240" w:lineRule="auto"/>
              <w:rPr>
                <w:sz w:val="28"/>
                <w:szCs w:val="28"/>
              </w:rPr>
            </w:pPr>
            <w:r>
              <w:rPr>
                <w:rFonts w:ascii="方正黑体_GBK" w:hAnsi="方正黑体_GBK" w:eastAsia="方正黑体_GBK" w:cs="宋体"/>
                <w:sz w:val="20"/>
                <w:szCs w:val="24"/>
              </w:rPr>
              <w:t>96065</w:t>
            </w:r>
          </w:p>
        </w:tc>
      </w:tr>
      <w:tr w14:paraId="6996CC5D">
        <w:trPr>
          <w:trHeight w:val="300" w:hRule="atLeast"/>
        </w:trPr>
        <w:tc>
          <w:tcPr>
            <w:tcW w:w="2100" w:type="dxa"/>
            <w:tcMar>
              <w:left w:w="120" w:type="dxa"/>
            </w:tcMar>
            <w:vAlign w:val="center"/>
          </w:tcPr>
          <w:p w14:paraId="261B199C">
            <w:pPr>
              <w:spacing w:line="240" w:lineRule="auto"/>
              <w:rPr>
                <w:sz w:val="28"/>
                <w:szCs w:val="28"/>
              </w:rPr>
            </w:pPr>
            <w:r>
              <w:rPr>
                <w:rFonts w:ascii="方正黑体_GBK" w:hAnsi="方正黑体_GBK" w:eastAsia="方正黑体_GBK" w:cs="宋体"/>
                <w:sz w:val="20"/>
                <w:szCs w:val="24"/>
              </w:rPr>
              <w:t>江苏江阴农村商业银行股份有限公司</w:t>
            </w:r>
          </w:p>
        </w:tc>
        <w:tc>
          <w:tcPr>
            <w:tcW w:w="4050" w:type="dxa"/>
            <w:tcMar>
              <w:left w:w="120" w:type="dxa"/>
            </w:tcMar>
            <w:vAlign w:val="center"/>
          </w:tcPr>
          <w:p w14:paraId="61C0BD11">
            <w:pPr>
              <w:spacing w:line="240" w:lineRule="auto"/>
              <w:rPr>
                <w:sz w:val="28"/>
                <w:szCs w:val="28"/>
              </w:rPr>
            </w:pPr>
            <w:r>
              <w:rPr>
                <w:rFonts w:ascii="方正黑体_GBK" w:hAnsi="方正黑体_GBK" w:eastAsia="方正黑体_GBK" w:cs="宋体"/>
                <w:sz w:val="20"/>
                <w:szCs w:val="24"/>
              </w:rPr>
              <w:t>江阴市澄江中路1号</w:t>
            </w:r>
          </w:p>
        </w:tc>
        <w:tc>
          <w:tcPr>
            <w:tcW w:w="1350" w:type="dxa"/>
            <w:tcMar>
              <w:left w:w="120" w:type="dxa"/>
            </w:tcMar>
            <w:vAlign w:val="center"/>
          </w:tcPr>
          <w:p w14:paraId="544D2EB2">
            <w:pPr>
              <w:spacing w:line="240" w:lineRule="auto"/>
              <w:rPr>
                <w:sz w:val="28"/>
                <w:szCs w:val="28"/>
              </w:rPr>
            </w:pPr>
            <w:r>
              <w:rPr>
                <w:rFonts w:ascii="方正黑体_GBK" w:hAnsi="方正黑体_GBK" w:eastAsia="方正黑体_GBK" w:cs="宋体"/>
                <w:sz w:val="20"/>
                <w:szCs w:val="24"/>
              </w:rPr>
              <w:t>96078</w:t>
            </w:r>
          </w:p>
        </w:tc>
      </w:tr>
      <w:tr w14:paraId="34432F7A">
        <w:trPr>
          <w:trHeight w:val="300" w:hRule="atLeast"/>
        </w:trPr>
        <w:tc>
          <w:tcPr>
            <w:tcW w:w="2100" w:type="dxa"/>
            <w:tcMar>
              <w:left w:w="120" w:type="dxa"/>
            </w:tcMar>
            <w:vAlign w:val="center"/>
          </w:tcPr>
          <w:p w14:paraId="389F136B">
            <w:pPr>
              <w:spacing w:line="240" w:lineRule="auto"/>
              <w:rPr>
                <w:sz w:val="28"/>
                <w:szCs w:val="28"/>
              </w:rPr>
            </w:pPr>
            <w:r>
              <w:rPr>
                <w:rFonts w:ascii="方正黑体_GBK" w:hAnsi="方正黑体_GBK" w:eastAsia="方正黑体_GBK" w:cs="宋体"/>
                <w:sz w:val="20"/>
                <w:szCs w:val="24"/>
              </w:rPr>
              <w:t>江苏东海农村商业银行股份有限公司</w:t>
            </w:r>
          </w:p>
        </w:tc>
        <w:tc>
          <w:tcPr>
            <w:tcW w:w="4050" w:type="dxa"/>
            <w:tcMar>
              <w:left w:w="120" w:type="dxa"/>
            </w:tcMar>
            <w:vAlign w:val="center"/>
          </w:tcPr>
          <w:p w14:paraId="55C6399D">
            <w:pPr>
              <w:spacing w:line="240" w:lineRule="auto"/>
              <w:rPr>
                <w:sz w:val="28"/>
                <w:szCs w:val="28"/>
              </w:rPr>
            </w:pPr>
            <w:r>
              <w:rPr>
                <w:rFonts w:ascii="方正黑体_GBK" w:hAnsi="方正黑体_GBK" w:eastAsia="方正黑体_GBK" w:cs="宋体"/>
                <w:sz w:val="20"/>
                <w:szCs w:val="24"/>
              </w:rPr>
              <w:t>连云港市东海县牛山镇海陵东路8号</w:t>
            </w:r>
          </w:p>
        </w:tc>
        <w:tc>
          <w:tcPr>
            <w:tcW w:w="1350" w:type="dxa"/>
            <w:tcMar>
              <w:left w:w="120" w:type="dxa"/>
            </w:tcMar>
            <w:vAlign w:val="center"/>
          </w:tcPr>
          <w:p w14:paraId="0B0ED964">
            <w:pPr>
              <w:spacing w:line="240" w:lineRule="auto"/>
              <w:rPr>
                <w:sz w:val="28"/>
                <w:szCs w:val="28"/>
              </w:rPr>
            </w:pPr>
            <w:r>
              <w:rPr>
                <w:rFonts w:ascii="方正黑体_GBK" w:hAnsi="方正黑体_GBK" w:eastAsia="方正黑体_GBK" w:cs="宋体"/>
                <w:sz w:val="20"/>
                <w:szCs w:val="24"/>
              </w:rPr>
              <w:t>96008</w:t>
            </w:r>
          </w:p>
        </w:tc>
      </w:tr>
      <w:tr w14:paraId="78869938">
        <w:trPr>
          <w:trHeight w:val="300" w:hRule="atLeast"/>
        </w:trPr>
        <w:tc>
          <w:tcPr>
            <w:tcW w:w="2100" w:type="dxa"/>
            <w:tcMar>
              <w:left w:w="120" w:type="dxa"/>
            </w:tcMar>
            <w:vAlign w:val="center"/>
          </w:tcPr>
          <w:p w14:paraId="51F65752">
            <w:pPr>
              <w:spacing w:line="240" w:lineRule="auto"/>
              <w:rPr>
                <w:sz w:val="28"/>
                <w:szCs w:val="28"/>
              </w:rPr>
            </w:pPr>
            <w:r>
              <w:rPr>
                <w:rFonts w:ascii="方正黑体_GBK" w:hAnsi="方正黑体_GBK" w:eastAsia="方正黑体_GBK" w:cs="宋体"/>
                <w:sz w:val="20"/>
                <w:szCs w:val="24"/>
              </w:rPr>
              <w:t>江苏高邮农村商业银行股份有限公司</w:t>
            </w:r>
          </w:p>
        </w:tc>
        <w:tc>
          <w:tcPr>
            <w:tcW w:w="4050" w:type="dxa"/>
            <w:tcMar>
              <w:left w:w="120" w:type="dxa"/>
            </w:tcMar>
            <w:vAlign w:val="center"/>
          </w:tcPr>
          <w:p w14:paraId="0204D95A">
            <w:pPr>
              <w:spacing w:line="240" w:lineRule="auto"/>
              <w:rPr>
                <w:sz w:val="28"/>
                <w:szCs w:val="28"/>
              </w:rPr>
            </w:pPr>
            <w:r>
              <w:rPr>
                <w:rFonts w:ascii="方正黑体_GBK" w:hAnsi="方正黑体_GBK" w:eastAsia="方正黑体_GBK" w:cs="宋体"/>
                <w:sz w:val="20"/>
                <w:szCs w:val="24"/>
              </w:rPr>
              <w:t>高邮市文游中路28号</w:t>
            </w:r>
          </w:p>
        </w:tc>
        <w:tc>
          <w:tcPr>
            <w:tcW w:w="1350" w:type="dxa"/>
            <w:tcMar>
              <w:left w:w="120" w:type="dxa"/>
            </w:tcMar>
            <w:vAlign w:val="center"/>
          </w:tcPr>
          <w:p w14:paraId="0CD9F5C7">
            <w:pPr>
              <w:spacing w:line="240" w:lineRule="auto"/>
              <w:rPr>
                <w:sz w:val="28"/>
                <w:szCs w:val="28"/>
              </w:rPr>
            </w:pPr>
            <w:r>
              <w:rPr>
                <w:rFonts w:ascii="方正黑体_GBK" w:hAnsi="方正黑体_GBK" w:eastAsia="方正黑体_GBK" w:cs="宋体"/>
                <w:sz w:val="20"/>
                <w:szCs w:val="24"/>
              </w:rPr>
              <w:t>96008</w:t>
            </w:r>
          </w:p>
        </w:tc>
      </w:tr>
      <w:tr w14:paraId="1147B557">
        <w:trPr>
          <w:trHeight w:val="300" w:hRule="atLeast"/>
        </w:trPr>
        <w:tc>
          <w:tcPr>
            <w:tcW w:w="2100" w:type="dxa"/>
            <w:tcMar>
              <w:left w:w="120" w:type="dxa"/>
            </w:tcMar>
            <w:vAlign w:val="center"/>
          </w:tcPr>
          <w:p w14:paraId="5AA72FE2">
            <w:pPr>
              <w:spacing w:line="240" w:lineRule="auto"/>
              <w:rPr>
                <w:sz w:val="28"/>
                <w:szCs w:val="28"/>
              </w:rPr>
            </w:pPr>
            <w:r>
              <w:rPr>
                <w:rFonts w:ascii="方正黑体_GBK" w:hAnsi="方正黑体_GBK" w:eastAsia="方正黑体_GBK" w:cs="宋体"/>
                <w:sz w:val="20"/>
                <w:szCs w:val="24"/>
              </w:rPr>
              <w:t>乌鲁木齐银行股份有限公司</w:t>
            </w:r>
          </w:p>
        </w:tc>
        <w:tc>
          <w:tcPr>
            <w:tcW w:w="4050" w:type="dxa"/>
            <w:tcMar>
              <w:left w:w="120" w:type="dxa"/>
            </w:tcMar>
            <w:vAlign w:val="center"/>
          </w:tcPr>
          <w:p w14:paraId="2CB137D5">
            <w:pPr>
              <w:spacing w:line="240" w:lineRule="auto"/>
              <w:rPr>
                <w:sz w:val="28"/>
                <w:szCs w:val="28"/>
              </w:rPr>
            </w:pPr>
            <w:r>
              <w:rPr>
                <w:rFonts w:ascii="方正黑体_GBK" w:hAnsi="方正黑体_GBK" w:eastAsia="方正黑体_GBK" w:cs="宋体"/>
                <w:sz w:val="20"/>
                <w:szCs w:val="24"/>
              </w:rPr>
              <w:t>新疆乌鲁木齐市水磨沟区会展大道 599 号新疆财富中心 A 座 4-31 层</w:t>
            </w:r>
          </w:p>
        </w:tc>
        <w:tc>
          <w:tcPr>
            <w:tcW w:w="1350" w:type="dxa"/>
            <w:tcMar>
              <w:left w:w="120" w:type="dxa"/>
            </w:tcMar>
            <w:vAlign w:val="center"/>
          </w:tcPr>
          <w:p w14:paraId="1B97BE31">
            <w:pPr>
              <w:spacing w:line="240" w:lineRule="auto"/>
              <w:rPr>
                <w:sz w:val="28"/>
                <w:szCs w:val="28"/>
              </w:rPr>
            </w:pPr>
            <w:r>
              <w:rPr>
                <w:rFonts w:ascii="方正黑体_GBK" w:hAnsi="方正黑体_GBK" w:eastAsia="方正黑体_GBK" w:cs="宋体"/>
                <w:sz w:val="20"/>
                <w:szCs w:val="24"/>
              </w:rPr>
              <w:t>0991-96518</w:t>
            </w:r>
          </w:p>
        </w:tc>
      </w:tr>
      <w:tr w14:paraId="127E0152">
        <w:trPr>
          <w:trHeight w:val="300" w:hRule="atLeast"/>
        </w:trPr>
        <w:tc>
          <w:tcPr>
            <w:tcW w:w="2100" w:type="dxa"/>
            <w:tcMar>
              <w:left w:w="120" w:type="dxa"/>
            </w:tcMar>
            <w:vAlign w:val="center"/>
          </w:tcPr>
          <w:p w14:paraId="6FF3A6B7">
            <w:pPr>
              <w:spacing w:line="240" w:lineRule="auto"/>
              <w:rPr>
                <w:sz w:val="28"/>
                <w:szCs w:val="28"/>
              </w:rPr>
            </w:pPr>
            <w:r>
              <w:rPr>
                <w:rFonts w:ascii="方正黑体_GBK" w:hAnsi="方正黑体_GBK" w:eastAsia="方正黑体_GBK" w:cs="宋体"/>
                <w:sz w:val="20"/>
                <w:szCs w:val="24"/>
              </w:rPr>
              <w:t>河北银行股份有限公司</w:t>
            </w:r>
          </w:p>
        </w:tc>
        <w:tc>
          <w:tcPr>
            <w:tcW w:w="4050" w:type="dxa"/>
            <w:tcMar>
              <w:left w:w="120" w:type="dxa"/>
            </w:tcMar>
            <w:vAlign w:val="center"/>
          </w:tcPr>
          <w:p w14:paraId="2CD952C9">
            <w:pPr>
              <w:spacing w:line="240" w:lineRule="auto"/>
              <w:rPr>
                <w:sz w:val="28"/>
                <w:szCs w:val="28"/>
              </w:rPr>
            </w:pPr>
            <w:r>
              <w:rPr>
                <w:rFonts w:ascii="方正黑体_GBK" w:hAnsi="方正黑体_GBK" w:eastAsia="方正黑体_GBK" w:cs="宋体"/>
                <w:sz w:val="20"/>
                <w:szCs w:val="24"/>
              </w:rPr>
              <w:t>河北省石家庄市平安北大街 28 号</w:t>
            </w:r>
          </w:p>
        </w:tc>
        <w:tc>
          <w:tcPr>
            <w:tcW w:w="1350" w:type="dxa"/>
            <w:tcMar>
              <w:left w:w="120" w:type="dxa"/>
            </w:tcMar>
            <w:vAlign w:val="center"/>
          </w:tcPr>
          <w:p w14:paraId="511A17DD">
            <w:pPr>
              <w:spacing w:line="240" w:lineRule="auto"/>
              <w:rPr>
                <w:sz w:val="28"/>
                <w:szCs w:val="28"/>
              </w:rPr>
            </w:pPr>
            <w:r>
              <w:rPr>
                <w:rFonts w:ascii="方正黑体_GBK" w:hAnsi="方正黑体_GBK" w:eastAsia="方正黑体_GBK" w:cs="宋体"/>
                <w:sz w:val="20"/>
                <w:szCs w:val="24"/>
              </w:rPr>
              <w:t>400-612-9999</w:t>
            </w:r>
          </w:p>
        </w:tc>
      </w:tr>
      <w:tr w14:paraId="3E6AC633">
        <w:trPr>
          <w:trHeight w:val="300" w:hRule="atLeast"/>
        </w:trPr>
        <w:tc>
          <w:tcPr>
            <w:tcW w:w="2100" w:type="dxa"/>
            <w:tcMar>
              <w:left w:w="120" w:type="dxa"/>
            </w:tcMar>
            <w:vAlign w:val="center"/>
          </w:tcPr>
          <w:p w14:paraId="5778FE42">
            <w:pPr>
              <w:spacing w:line="240" w:lineRule="auto"/>
              <w:rPr>
                <w:sz w:val="28"/>
                <w:szCs w:val="28"/>
              </w:rPr>
            </w:pPr>
            <w:r>
              <w:rPr>
                <w:rFonts w:ascii="方正黑体_GBK" w:hAnsi="方正黑体_GBK" w:eastAsia="方正黑体_GBK" w:cs="宋体"/>
                <w:sz w:val="20"/>
                <w:szCs w:val="24"/>
              </w:rPr>
              <w:t>郑州银行股份有限公司</w:t>
            </w:r>
          </w:p>
        </w:tc>
        <w:tc>
          <w:tcPr>
            <w:tcW w:w="4050" w:type="dxa"/>
            <w:tcMar>
              <w:left w:w="120" w:type="dxa"/>
            </w:tcMar>
            <w:vAlign w:val="center"/>
          </w:tcPr>
          <w:p w14:paraId="0DB49C17">
            <w:pPr>
              <w:spacing w:line="240" w:lineRule="auto"/>
              <w:rPr>
                <w:sz w:val="28"/>
                <w:szCs w:val="28"/>
              </w:rPr>
            </w:pPr>
            <w:r>
              <w:rPr>
                <w:rFonts w:ascii="方正黑体_GBK" w:hAnsi="方正黑体_GBK" w:eastAsia="方正黑体_GBK" w:cs="宋体"/>
                <w:sz w:val="20"/>
                <w:szCs w:val="24"/>
              </w:rPr>
              <w:t>郑州市郑东新区商务外环路22号</w:t>
            </w:r>
          </w:p>
        </w:tc>
        <w:tc>
          <w:tcPr>
            <w:tcW w:w="1350" w:type="dxa"/>
            <w:tcMar>
              <w:left w:w="120" w:type="dxa"/>
            </w:tcMar>
            <w:vAlign w:val="center"/>
          </w:tcPr>
          <w:p w14:paraId="5AA2F2AC">
            <w:pPr>
              <w:spacing w:line="240" w:lineRule="auto"/>
              <w:rPr>
                <w:sz w:val="28"/>
                <w:szCs w:val="28"/>
              </w:rPr>
            </w:pPr>
            <w:r>
              <w:rPr>
                <w:rFonts w:ascii="方正黑体_GBK" w:hAnsi="方正黑体_GBK" w:eastAsia="方正黑体_GBK" w:cs="宋体"/>
                <w:sz w:val="20"/>
                <w:szCs w:val="24"/>
              </w:rPr>
              <w:t>95097</w:t>
            </w:r>
          </w:p>
        </w:tc>
      </w:tr>
      <w:tr w14:paraId="09C580B4">
        <w:trPr>
          <w:trHeight w:val="300" w:hRule="atLeast"/>
        </w:trPr>
        <w:tc>
          <w:tcPr>
            <w:tcW w:w="2100" w:type="dxa"/>
            <w:tcMar>
              <w:left w:w="120" w:type="dxa"/>
            </w:tcMar>
            <w:vAlign w:val="center"/>
          </w:tcPr>
          <w:p w14:paraId="3ED7770B">
            <w:pPr>
              <w:spacing w:line="240" w:lineRule="auto"/>
              <w:rPr>
                <w:sz w:val="28"/>
                <w:szCs w:val="28"/>
              </w:rPr>
            </w:pPr>
            <w:r>
              <w:rPr>
                <w:rFonts w:ascii="方正黑体_GBK" w:hAnsi="方正黑体_GBK" w:eastAsia="方正黑体_GBK" w:cs="宋体"/>
                <w:sz w:val="20"/>
                <w:szCs w:val="24"/>
              </w:rPr>
              <w:t>江苏姜堰农村商业银行股份有限公司</w:t>
            </w:r>
          </w:p>
        </w:tc>
        <w:tc>
          <w:tcPr>
            <w:tcW w:w="4050" w:type="dxa"/>
            <w:tcMar>
              <w:left w:w="120" w:type="dxa"/>
            </w:tcMar>
            <w:vAlign w:val="center"/>
          </w:tcPr>
          <w:p w14:paraId="6D023B03">
            <w:pPr>
              <w:spacing w:line="240" w:lineRule="auto"/>
              <w:rPr>
                <w:sz w:val="28"/>
                <w:szCs w:val="28"/>
              </w:rPr>
            </w:pPr>
            <w:r>
              <w:rPr>
                <w:rFonts w:ascii="方正黑体_GBK" w:hAnsi="方正黑体_GBK" w:eastAsia="方正黑体_GBK" w:cs="宋体"/>
                <w:sz w:val="20"/>
                <w:szCs w:val="24"/>
              </w:rPr>
              <w:t>泰州市姜堰区姜堰大道128号</w:t>
            </w:r>
          </w:p>
        </w:tc>
        <w:tc>
          <w:tcPr>
            <w:tcW w:w="1350" w:type="dxa"/>
            <w:tcMar>
              <w:left w:w="120" w:type="dxa"/>
            </w:tcMar>
            <w:vAlign w:val="center"/>
          </w:tcPr>
          <w:p w14:paraId="67808583">
            <w:pPr>
              <w:spacing w:line="240" w:lineRule="auto"/>
              <w:rPr>
                <w:sz w:val="28"/>
                <w:szCs w:val="28"/>
              </w:rPr>
            </w:pPr>
            <w:r>
              <w:rPr>
                <w:rFonts w:ascii="方正黑体_GBK" w:hAnsi="方正黑体_GBK" w:eastAsia="方正黑体_GBK" w:cs="宋体"/>
                <w:sz w:val="20"/>
                <w:szCs w:val="24"/>
              </w:rPr>
              <w:t>96008</w:t>
            </w:r>
          </w:p>
        </w:tc>
      </w:tr>
      <w:tr w14:paraId="7364612B">
        <w:trPr>
          <w:trHeight w:val="300" w:hRule="atLeast"/>
        </w:trPr>
        <w:tc>
          <w:tcPr>
            <w:tcW w:w="2100" w:type="dxa"/>
            <w:tcMar>
              <w:left w:w="120" w:type="dxa"/>
            </w:tcMar>
            <w:vAlign w:val="center"/>
          </w:tcPr>
          <w:p w14:paraId="72A5FD46">
            <w:pPr>
              <w:spacing w:line="240" w:lineRule="auto"/>
              <w:rPr>
                <w:sz w:val="28"/>
                <w:szCs w:val="28"/>
              </w:rPr>
            </w:pPr>
            <w:r>
              <w:rPr>
                <w:rFonts w:ascii="方正黑体_GBK" w:hAnsi="方正黑体_GBK" w:eastAsia="方正黑体_GBK" w:cs="宋体"/>
                <w:sz w:val="20"/>
                <w:szCs w:val="24"/>
              </w:rPr>
              <w:t>山西银行股份有限公司</w:t>
            </w:r>
          </w:p>
        </w:tc>
        <w:tc>
          <w:tcPr>
            <w:tcW w:w="4050" w:type="dxa"/>
            <w:tcMar>
              <w:left w:w="120" w:type="dxa"/>
            </w:tcMar>
            <w:vAlign w:val="center"/>
          </w:tcPr>
          <w:p w14:paraId="45A2019C">
            <w:pPr>
              <w:spacing w:line="240" w:lineRule="auto"/>
              <w:rPr>
                <w:sz w:val="28"/>
                <w:szCs w:val="28"/>
              </w:rPr>
            </w:pPr>
            <w:r>
              <w:rPr>
                <w:rFonts w:ascii="方正黑体_GBK" w:hAnsi="方正黑体_GBK" w:eastAsia="方正黑体_GBK" w:cs="宋体"/>
                <w:sz w:val="20"/>
                <w:szCs w:val="24"/>
              </w:rPr>
              <w:t>山西转型综合改革示范区学府产业园高新街15号</w:t>
            </w:r>
          </w:p>
        </w:tc>
        <w:tc>
          <w:tcPr>
            <w:tcW w:w="1350" w:type="dxa"/>
            <w:tcMar>
              <w:left w:w="120" w:type="dxa"/>
            </w:tcMar>
            <w:vAlign w:val="center"/>
          </w:tcPr>
          <w:p w14:paraId="2D2C7741">
            <w:pPr>
              <w:spacing w:line="240" w:lineRule="auto"/>
              <w:rPr>
                <w:sz w:val="28"/>
                <w:szCs w:val="28"/>
              </w:rPr>
            </w:pPr>
            <w:r>
              <w:rPr>
                <w:rFonts w:ascii="方正黑体_GBK" w:hAnsi="方正黑体_GBK" w:eastAsia="方正黑体_GBK" w:cs="宋体"/>
                <w:sz w:val="20"/>
                <w:szCs w:val="24"/>
              </w:rPr>
              <w:t>0351-96588</w:t>
            </w:r>
          </w:p>
        </w:tc>
      </w:tr>
      <w:tr w14:paraId="15262669">
        <w:trPr>
          <w:trHeight w:val="300" w:hRule="atLeast"/>
        </w:trPr>
        <w:tc>
          <w:tcPr>
            <w:tcW w:w="2100" w:type="dxa"/>
            <w:tcMar>
              <w:left w:w="120" w:type="dxa"/>
            </w:tcMar>
            <w:vAlign w:val="center"/>
          </w:tcPr>
          <w:p w14:paraId="37E9E071">
            <w:pPr>
              <w:spacing w:line="240" w:lineRule="auto"/>
              <w:rPr>
                <w:sz w:val="28"/>
                <w:szCs w:val="28"/>
              </w:rPr>
            </w:pPr>
            <w:r>
              <w:rPr>
                <w:rFonts w:ascii="方正黑体_GBK" w:hAnsi="方正黑体_GBK" w:eastAsia="方正黑体_GBK" w:cs="宋体"/>
                <w:sz w:val="20"/>
                <w:szCs w:val="24"/>
              </w:rPr>
              <w:t>江苏如东农村商业银行股份有限公司</w:t>
            </w:r>
          </w:p>
        </w:tc>
        <w:tc>
          <w:tcPr>
            <w:tcW w:w="4050" w:type="dxa"/>
            <w:tcMar>
              <w:left w:w="120" w:type="dxa"/>
            </w:tcMar>
            <w:vAlign w:val="center"/>
          </w:tcPr>
          <w:p w14:paraId="026EFB3B">
            <w:pPr>
              <w:spacing w:line="240" w:lineRule="auto"/>
              <w:rPr>
                <w:sz w:val="28"/>
                <w:szCs w:val="28"/>
              </w:rPr>
            </w:pPr>
            <w:r>
              <w:rPr>
                <w:rFonts w:ascii="方正黑体_GBK" w:hAnsi="方正黑体_GBK" w:eastAsia="方正黑体_GBK" w:cs="宋体"/>
                <w:sz w:val="20"/>
                <w:szCs w:val="24"/>
              </w:rPr>
              <w:t>江苏省如东县掘港镇钟山路66号</w:t>
            </w:r>
          </w:p>
        </w:tc>
        <w:tc>
          <w:tcPr>
            <w:tcW w:w="1350" w:type="dxa"/>
            <w:tcMar>
              <w:left w:w="120" w:type="dxa"/>
            </w:tcMar>
            <w:vAlign w:val="center"/>
          </w:tcPr>
          <w:p w14:paraId="7AADAAD4">
            <w:pPr>
              <w:spacing w:line="240" w:lineRule="auto"/>
              <w:rPr>
                <w:sz w:val="28"/>
                <w:szCs w:val="28"/>
              </w:rPr>
            </w:pPr>
            <w:r>
              <w:rPr>
                <w:rFonts w:ascii="方正黑体_GBK" w:hAnsi="方正黑体_GBK" w:eastAsia="方正黑体_GBK" w:cs="宋体"/>
                <w:sz w:val="20"/>
                <w:szCs w:val="24"/>
              </w:rPr>
              <w:t>96008</w:t>
            </w:r>
          </w:p>
        </w:tc>
      </w:tr>
      <w:tr w14:paraId="0641D09B">
        <w:trPr>
          <w:trHeight w:val="300" w:hRule="atLeast"/>
        </w:trPr>
        <w:tc>
          <w:tcPr>
            <w:tcW w:w="2100" w:type="dxa"/>
            <w:tcMar>
              <w:left w:w="120" w:type="dxa"/>
            </w:tcMar>
            <w:vAlign w:val="center"/>
          </w:tcPr>
          <w:p w14:paraId="1206AA7E">
            <w:pPr>
              <w:spacing w:line="240" w:lineRule="auto"/>
              <w:rPr>
                <w:sz w:val="28"/>
                <w:szCs w:val="28"/>
              </w:rPr>
            </w:pPr>
            <w:r>
              <w:rPr>
                <w:rFonts w:ascii="方正黑体_GBK" w:hAnsi="方正黑体_GBK" w:eastAsia="方正黑体_GBK" w:cs="宋体"/>
                <w:sz w:val="20"/>
                <w:szCs w:val="24"/>
              </w:rPr>
              <w:t>北京银行股份有限公司</w:t>
            </w:r>
          </w:p>
        </w:tc>
        <w:tc>
          <w:tcPr>
            <w:tcW w:w="4050" w:type="dxa"/>
            <w:tcMar>
              <w:left w:w="120" w:type="dxa"/>
            </w:tcMar>
            <w:vAlign w:val="center"/>
          </w:tcPr>
          <w:p w14:paraId="19CFA818">
            <w:pPr>
              <w:spacing w:line="240" w:lineRule="auto"/>
              <w:rPr>
                <w:sz w:val="28"/>
                <w:szCs w:val="28"/>
              </w:rPr>
            </w:pPr>
            <w:r>
              <w:rPr>
                <w:rFonts w:ascii="方正黑体_GBK" w:hAnsi="方正黑体_GBK" w:eastAsia="方正黑体_GBK" w:cs="宋体"/>
                <w:sz w:val="20"/>
                <w:szCs w:val="24"/>
              </w:rPr>
              <w:t>北京市西城区金融大街甲17号首层</w:t>
            </w:r>
          </w:p>
        </w:tc>
        <w:tc>
          <w:tcPr>
            <w:tcW w:w="1350" w:type="dxa"/>
            <w:tcMar>
              <w:left w:w="120" w:type="dxa"/>
            </w:tcMar>
            <w:vAlign w:val="center"/>
          </w:tcPr>
          <w:p w14:paraId="5425ADD5">
            <w:pPr>
              <w:spacing w:line="240" w:lineRule="auto"/>
              <w:rPr>
                <w:sz w:val="28"/>
                <w:szCs w:val="28"/>
              </w:rPr>
            </w:pPr>
            <w:r>
              <w:rPr>
                <w:rFonts w:ascii="方正黑体_GBK" w:hAnsi="方正黑体_GBK" w:eastAsia="方正黑体_GBK" w:cs="宋体"/>
                <w:sz w:val="20"/>
                <w:szCs w:val="24"/>
              </w:rPr>
              <w:t>010-66426500</w:t>
            </w:r>
          </w:p>
        </w:tc>
      </w:tr>
      <w:tr w14:paraId="65D25257">
        <w:trPr>
          <w:trHeight w:val="300" w:hRule="atLeast"/>
        </w:trPr>
        <w:tc>
          <w:tcPr>
            <w:tcW w:w="2100" w:type="dxa"/>
            <w:tcMar>
              <w:left w:w="120" w:type="dxa"/>
            </w:tcMar>
            <w:vAlign w:val="center"/>
          </w:tcPr>
          <w:p w14:paraId="3FC1064A">
            <w:pPr>
              <w:spacing w:line="240" w:lineRule="auto"/>
              <w:rPr>
                <w:sz w:val="28"/>
                <w:szCs w:val="28"/>
              </w:rPr>
            </w:pPr>
            <w:r>
              <w:rPr>
                <w:rFonts w:ascii="方正黑体_GBK" w:hAnsi="方正黑体_GBK" w:eastAsia="方正黑体_GBK" w:cs="宋体"/>
                <w:sz w:val="20"/>
                <w:szCs w:val="24"/>
              </w:rPr>
              <w:t>哈密市商业银行股份有限公司</w:t>
            </w:r>
          </w:p>
        </w:tc>
        <w:tc>
          <w:tcPr>
            <w:tcW w:w="4050" w:type="dxa"/>
            <w:tcMar>
              <w:left w:w="120" w:type="dxa"/>
            </w:tcMar>
            <w:vAlign w:val="center"/>
          </w:tcPr>
          <w:p w14:paraId="590A7754">
            <w:pPr>
              <w:spacing w:line="240" w:lineRule="auto"/>
              <w:rPr>
                <w:sz w:val="28"/>
                <w:szCs w:val="28"/>
              </w:rPr>
            </w:pPr>
            <w:r>
              <w:rPr>
                <w:rFonts w:ascii="方正黑体_GBK" w:hAnsi="方正黑体_GBK" w:eastAsia="方正黑体_GBK" w:cs="宋体"/>
                <w:sz w:val="20"/>
                <w:szCs w:val="24"/>
              </w:rPr>
              <w:t>新疆哈密市伊州区天山北路 52 号</w:t>
            </w:r>
          </w:p>
        </w:tc>
        <w:tc>
          <w:tcPr>
            <w:tcW w:w="1350" w:type="dxa"/>
            <w:tcMar>
              <w:left w:w="120" w:type="dxa"/>
            </w:tcMar>
            <w:vAlign w:val="center"/>
          </w:tcPr>
          <w:p w14:paraId="38C54B71">
            <w:pPr>
              <w:spacing w:line="240" w:lineRule="auto"/>
              <w:rPr>
                <w:sz w:val="28"/>
                <w:szCs w:val="28"/>
              </w:rPr>
            </w:pPr>
            <w:r>
              <w:rPr>
                <w:rFonts w:ascii="方正黑体_GBK" w:hAnsi="方正黑体_GBK" w:eastAsia="方正黑体_GBK" w:cs="宋体"/>
                <w:sz w:val="20"/>
                <w:szCs w:val="24"/>
              </w:rPr>
              <w:t>0902-2365320</w:t>
            </w:r>
          </w:p>
        </w:tc>
      </w:tr>
      <w:tr w14:paraId="400F2667">
        <w:trPr>
          <w:trHeight w:val="300" w:hRule="atLeast"/>
        </w:trPr>
        <w:tc>
          <w:tcPr>
            <w:tcW w:w="2100" w:type="dxa"/>
            <w:tcMar>
              <w:left w:w="120" w:type="dxa"/>
            </w:tcMar>
            <w:vAlign w:val="center"/>
          </w:tcPr>
          <w:p w14:paraId="0F2F1B0A">
            <w:pPr>
              <w:spacing w:line="240" w:lineRule="auto"/>
              <w:rPr>
                <w:sz w:val="28"/>
                <w:szCs w:val="28"/>
              </w:rPr>
            </w:pPr>
            <w:r>
              <w:rPr>
                <w:rFonts w:ascii="方正黑体_GBK" w:hAnsi="方正黑体_GBK" w:eastAsia="方正黑体_GBK" w:cs="宋体"/>
                <w:sz w:val="20"/>
                <w:szCs w:val="24"/>
              </w:rPr>
              <w:t>江苏赣榆农村商业银行股份有限公司</w:t>
            </w:r>
          </w:p>
        </w:tc>
        <w:tc>
          <w:tcPr>
            <w:tcW w:w="4050" w:type="dxa"/>
            <w:tcMar>
              <w:left w:w="120" w:type="dxa"/>
            </w:tcMar>
            <w:vAlign w:val="center"/>
          </w:tcPr>
          <w:p w14:paraId="2C3CEFE5">
            <w:pPr>
              <w:spacing w:line="240" w:lineRule="auto"/>
              <w:rPr>
                <w:sz w:val="28"/>
                <w:szCs w:val="28"/>
              </w:rPr>
            </w:pPr>
            <w:r>
              <w:rPr>
                <w:rFonts w:ascii="方正黑体_GBK" w:hAnsi="方正黑体_GBK" w:eastAsia="方正黑体_GBK" w:cs="宋体"/>
                <w:sz w:val="20"/>
                <w:szCs w:val="24"/>
              </w:rPr>
              <w:t>连云港市赣榆区黄海东路304号</w:t>
            </w:r>
          </w:p>
        </w:tc>
        <w:tc>
          <w:tcPr>
            <w:tcW w:w="1350" w:type="dxa"/>
            <w:tcMar>
              <w:left w:w="120" w:type="dxa"/>
            </w:tcMar>
            <w:vAlign w:val="center"/>
          </w:tcPr>
          <w:p w14:paraId="35BFA56E">
            <w:pPr>
              <w:spacing w:line="240" w:lineRule="auto"/>
              <w:rPr>
                <w:sz w:val="28"/>
                <w:szCs w:val="28"/>
              </w:rPr>
            </w:pPr>
            <w:r>
              <w:rPr>
                <w:rFonts w:ascii="方正黑体_GBK" w:hAnsi="方正黑体_GBK" w:eastAsia="方正黑体_GBK" w:cs="宋体"/>
                <w:sz w:val="20"/>
                <w:szCs w:val="24"/>
              </w:rPr>
              <w:t>96008</w:t>
            </w:r>
          </w:p>
        </w:tc>
      </w:tr>
      <w:tr w14:paraId="5DEB1B69">
        <w:trPr>
          <w:trHeight w:val="300" w:hRule="atLeast"/>
        </w:trPr>
        <w:tc>
          <w:tcPr>
            <w:tcW w:w="2100" w:type="dxa"/>
            <w:tcMar>
              <w:left w:w="120" w:type="dxa"/>
            </w:tcMar>
            <w:vAlign w:val="center"/>
          </w:tcPr>
          <w:p w14:paraId="7C99C6C6">
            <w:pPr>
              <w:spacing w:line="240" w:lineRule="auto"/>
              <w:rPr>
                <w:sz w:val="28"/>
                <w:szCs w:val="28"/>
              </w:rPr>
            </w:pPr>
            <w:r>
              <w:rPr>
                <w:rFonts w:ascii="方正黑体_GBK" w:hAnsi="方正黑体_GBK" w:eastAsia="方正黑体_GBK" w:cs="宋体"/>
                <w:sz w:val="20"/>
                <w:szCs w:val="24"/>
              </w:rPr>
              <w:t>江苏盱眙农村商业银行股份有限公司</w:t>
            </w:r>
          </w:p>
        </w:tc>
        <w:tc>
          <w:tcPr>
            <w:tcW w:w="4050" w:type="dxa"/>
            <w:tcMar>
              <w:left w:w="120" w:type="dxa"/>
            </w:tcMar>
            <w:vAlign w:val="center"/>
          </w:tcPr>
          <w:p w14:paraId="31FE3F32">
            <w:pPr>
              <w:spacing w:line="240" w:lineRule="auto"/>
              <w:rPr>
                <w:sz w:val="28"/>
                <w:szCs w:val="28"/>
              </w:rPr>
            </w:pPr>
            <w:r>
              <w:rPr>
                <w:rFonts w:ascii="方正黑体_GBK" w:hAnsi="方正黑体_GBK" w:eastAsia="方正黑体_GBK" w:cs="宋体"/>
                <w:sz w:val="20"/>
                <w:szCs w:val="24"/>
              </w:rPr>
              <w:t>江苏省盱眙县合欢大道2号</w:t>
            </w:r>
          </w:p>
        </w:tc>
        <w:tc>
          <w:tcPr>
            <w:tcW w:w="1350" w:type="dxa"/>
            <w:tcMar>
              <w:left w:w="120" w:type="dxa"/>
            </w:tcMar>
            <w:vAlign w:val="center"/>
          </w:tcPr>
          <w:p w14:paraId="5FCA17F3">
            <w:pPr>
              <w:spacing w:line="240" w:lineRule="auto"/>
              <w:rPr>
                <w:sz w:val="28"/>
                <w:szCs w:val="28"/>
              </w:rPr>
            </w:pPr>
            <w:r>
              <w:rPr>
                <w:rFonts w:ascii="方正黑体_GBK" w:hAnsi="方正黑体_GBK" w:eastAsia="方正黑体_GBK" w:cs="宋体"/>
                <w:sz w:val="20"/>
                <w:szCs w:val="24"/>
              </w:rPr>
              <w:t>96008</w:t>
            </w:r>
          </w:p>
        </w:tc>
      </w:tr>
      <w:tr w14:paraId="05EF2FDA">
        <w:trPr>
          <w:trHeight w:val="300" w:hRule="atLeast"/>
        </w:trPr>
        <w:tc>
          <w:tcPr>
            <w:tcW w:w="2100" w:type="dxa"/>
            <w:tcMar>
              <w:left w:w="120" w:type="dxa"/>
            </w:tcMar>
            <w:vAlign w:val="center"/>
          </w:tcPr>
          <w:p w14:paraId="1039C098">
            <w:pPr>
              <w:spacing w:line="240" w:lineRule="auto"/>
              <w:rPr>
                <w:sz w:val="28"/>
                <w:szCs w:val="28"/>
              </w:rPr>
            </w:pPr>
            <w:r>
              <w:rPr>
                <w:rFonts w:ascii="方正黑体_GBK" w:hAnsi="方正黑体_GBK" w:eastAsia="方正黑体_GBK" w:cs="宋体"/>
                <w:sz w:val="20"/>
                <w:szCs w:val="24"/>
              </w:rPr>
              <w:t>兰州银行股份有限公司</w:t>
            </w:r>
          </w:p>
        </w:tc>
        <w:tc>
          <w:tcPr>
            <w:tcW w:w="4050" w:type="dxa"/>
            <w:tcMar>
              <w:left w:w="120" w:type="dxa"/>
            </w:tcMar>
            <w:vAlign w:val="center"/>
          </w:tcPr>
          <w:p w14:paraId="50544279">
            <w:pPr>
              <w:spacing w:line="240" w:lineRule="auto"/>
              <w:rPr>
                <w:sz w:val="28"/>
                <w:szCs w:val="28"/>
              </w:rPr>
            </w:pPr>
            <w:r>
              <w:rPr>
                <w:rFonts w:ascii="方正黑体_GBK" w:hAnsi="方正黑体_GBK" w:eastAsia="方正黑体_GBK" w:cs="宋体"/>
                <w:sz w:val="20"/>
                <w:szCs w:val="24"/>
              </w:rPr>
              <w:t>甘肃省兰州市城关区酒泉路 211 号</w:t>
            </w:r>
          </w:p>
        </w:tc>
        <w:tc>
          <w:tcPr>
            <w:tcW w:w="1350" w:type="dxa"/>
            <w:tcMar>
              <w:left w:w="120" w:type="dxa"/>
            </w:tcMar>
            <w:vAlign w:val="center"/>
          </w:tcPr>
          <w:p w14:paraId="5ACA2741">
            <w:pPr>
              <w:spacing w:line="240" w:lineRule="auto"/>
              <w:rPr>
                <w:sz w:val="28"/>
                <w:szCs w:val="28"/>
              </w:rPr>
            </w:pPr>
            <w:r>
              <w:rPr>
                <w:rFonts w:ascii="方正黑体_GBK" w:hAnsi="方正黑体_GBK" w:eastAsia="方正黑体_GBK" w:cs="宋体"/>
                <w:sz w:val="20"/>
                <w:szCs w:val="24"/>
              </w:rPr>
              <w:t>96799</w:t>
            </w:r>
          </w:p>
        </w:tc>
      </w:tr>
      <w:tr w14:paraId="4E8B8B87">
        <w:trPr>
          <w:trHeight w:val="300" w:hRule="atLeast"/>
        </w:trPr>
        <w:tc>
          <w:tcPr>
            <w:tcW w:w="2100" w:type="dxa"/>
            <w:tcMar>
              <w:left w:w="120" w:type="dxa"/>
            </w:tcMar>
            <w:vAlign w:val="center"/>
          </w:tcPr>
          <w:p w14:paraId="10F21F25">
            <w:pPr>
              <w:spacing w:line="240" w:lineRule="auto"/>
              <w:rPr>
                <w:sz w:val="28"/>
                <w:szCs w:val="28"/>
              </w:rPr>
            </w:pPr>
            <w:r>
              <w:rPr>
                <w:rFonts w:ascii="方正黑体_GBK" w:hAnsi="方正黑体_GBK" w:eastAsia="方正黑体_GBK" w:cs="宋体"/>
                <w:sz w:val="20"/>
                <w:szCs w:val="24"/>
              </w:rPr>
              <w:t>东营银行股份有限公司</w:t>
            </w:r>
          </w:p>
        </w:tc>
        <w:tc>
          <w:tcPr>
            <w:tcW w:w="4050" w:type="dxa"/>
            <w:tcMar>
              <w:left w:w="120" w:type="dxa"/>
            </w:tcMar>
            <w:vAlign w:val="center"/>
          </w:tcPr>
          <w:p w14:paraId="2BD337E8">
            <w:pPr>
              <w:spacing w:line="240" w:lineRule="auto"/>
              <w:rPr>
                <w:sz w:val="28"/>
                <w:szCs w:val="28"/>
              </w:rPr>
            </w:pPr>
            <w:r>
              <w:rPr>
                <w:rFonts w:ascii="方正黑体_GBK" w:hAnsi="方正黑体_GBK" w:eastAsia="方正黑体_GBK" w:cs="宋体"/>
                <w:sz w:val="20"/>
                <w:szCs w:val="24"/>
              </w:rPr>
              <w:t>山东省东营市东营区府前大街87-1号</w:t>
            </w:r>
          </w:p>
        </w:tc>
        <w:tc>
          <w:tcPr>
            <w:tcW w:w="1350" w:type="dxa"/>
            <w:tcMar>
              <w:left w:w="120" w:type="dxa"/>
            </w:tcMar>
            <w:vAlign w:val="center"/>
          </w:tcPr>
          <w:p w14:paraId="04AEB87E">
            <w:pPr>
              <w:spacing w:line="240" w:lineRule="auto"/>
              <w:rPr>
                <w:sz w:val="28"/>
                <w:szCs w:val="28"/>
              </w:rPr>
            </w:pPr>
            <w:r>
              <w:rPr>
                <w:rFonts w:ascii="方正黑体_GBK" w:hAnsi="方正黑体_GBK" w:eastAsia="方正黑体_GBK" w:cs="宋体"/>
                <w:sz w:val="20"/>
                <w:szCs w:val="24"/>
              </w:rPr>
              <w:t>0546-96588/400-6296588</w:t>
            </w:r>
          </w:p>
        </w:tc>
      </w:tr>
      <w:tr w14:paraId="362A8ADB">
        <w:trPr>
          <w:trHeight w:val="300" w:hRule="atLeast"/>
        </w:trPr>
        <w:tc>
          <w:tcPr>
            <w:tcW w:w="2100" w:type="dxa"/>
            <w:tcMar>
              <w:left w:w="120" w:type="dxa"/>
            </w:tcMar>
            <w:vAlign w:val="center"/>
          </w:tcPr>
          <w:p w14:paraId="1B605C1C">
            <w:pPr>
              <w:spacing w:line="240" w:lineRule="auto"/>
              <w:rPr>
                <w:sz w:val="28"/>
                <w:szCs w:val="28"/>
              </w:rPr>
            </w:pPr>
            <w:r>
              <w:rPr>
                <w:rFonts w:ascii="方正黑体_GBK" w:hAnsi="方正黑体_GBK" w:eastAsia="方正黑体_GBK" w:cs="宋体"/>
                <w:sz w:val="20"/>
                <w:szCs w:val="24"/>
              </w:rPr>
              <w:t>江苏沛县农村商业银行股份有限公司</w:t>
            </w:r>
          </w:p>
        </w:tc>
        <w:tc>
          <w:tcPr>
            <w:tcW w:w="4050" w:type="dxa"/>
            <w:tcMar>
              <w:left w:w="120" w:type="dxa"/>
            </w:tcMar>
            <w:vAlign w:val="center"/>
          </w:tcPr>
          <w:p w14:paraId="54931DDB">
            <w:pPr>
              <w:spacing w:line="240" w:lineRule="auto"/>
              <w:rPr>
                <w:sz w:val="28"/>
                <w:szCs w:val="28"/>
              </w:rPr>
            </w:pPr>
            <w:r>
              <w:rPr>
                <w:rFonts w:ascii="方正黑体_GBK" w:hAnsi="方正黑体_GBK" w:eastAsia="方正黑体_GBK" w:cs="宋体"/>
                <w:sz w:val="20"/>
                <w:szCs w:val="24"/>
              </w:rPr>
              <w:t>江苏省沛县汤沐路中段11号</w:t>
            </w:r>
          </w:p>
        </w:tc>
        <w:tc>
          <w:tcPr>
            <w:tcW w:w="1350" w:type="dxa"/>
            <w:tcMar>
              <w:left w:w="120" w:type="dxa"/>
            </w:tcMar>
            <w:vAlign w:val="center"/>
          </w:tcPr>
          <w:p w14:paraId="0D434E31">
            <w:pPr>
              <w:spacing w:line="240" w:lineRule="auto"/>
              <w:rPr>
                <w:sz w:val="28"/>
                <w:szCs w:val="28"/>
              </w:rPr>
            </w:pPr>
            <w:r>
              <w:rPr>
                <w:rFonts w:ascii="方正黑体_GBK" w:hAnsi="方正黑体_GBK" w:eastAsia="方正黑体_GBK" w:cs="宋体"/>
                <w:sz w:val="20"/>
                <w:szCs w:val="24"/>
              </w:rPr>
              <w:t>96008</w:t>
            </w:r>
          </w:p>
        </w:tc>
      </w:tr>
      <w:tr w14:paraId="0B33830F">
        <w:trPr>
          <w:trHeight w:val="300" w:hRule="atLeast"/>
        </w:trPr>
        <w:tc>
          <w:tcPr>
            <w:tcW w:w="2100" w:type="dxa"/>
            <w:tcMar>
              <w:left w:w="120" w:type="dxa"/>
            </w:tcMar>
            <w:vAlign w:val="center"/>
          </w:tcPr>
          <w:p w14:paraId="637DD64A">
            <w:pPr>
              <w:spacing w:line="240" w:lineRule="auto"/>
              <w:rPr>
                <w:sz w:val="28"/>
                <w:szCs w:val="28"/>
              </w:rPr>
            </w:pPr>
            <w:r>
              <w:rPr>
                <w:rFonts w:ascii="方正黑体_GBK" w:hAnsi="方正黑体_GBK" w:eastAsia="方正黑体_GBK" w:cs="宋体"/>
                <w:sz w:val="20"/>
                <w:szCs w:val="24"/>
              </w:rPr>
              <w:t>甘肃银行股份有限公司</w:t>
            </w:r>
          </w:p>
        </w:tc>
        <w:tc>
          <w:tcPr>
            <w:tcW w:w="4050" w:type="dxa"/>
            <w:tcMar>
              <w:left w:w="120" w:type="dxa"/>
            </w:tcMar>
            <w:vAlign w:val="center"/>
          </w:tcPr>
          <w:p w14:paraId="5003C38D">
            <w:pPr>
              <w:spacing w:line="240" w:lineRule="auto"/>
              <w:rPr>
                <w:sz w:val="28"/>
                <w:szCs w:val="28"/>
              </w:rPr>
            </w:pPr>
            <w:r>
              <w:rPr>
                <w:rFonts w:ascii="方正黑体_GBK" w:hAnsi="方正黑体_GBK" w:eastAsia="方正黑体_GBK" w:cs="宋体"/>
                <w:sz w:val="20"/>
                <w:szCs w:val="24"/>
              </w:rPr>
              <w:t>甘肃省兰州市城关区东岗西路 525-1 号甘肃银行大厦</w:t>
            </w:r>
          </w:p>
        </w:tc>
        <w:tc>
          <w:tcPr>
            <w:tcW w:w="1350" w:type="dxa"/>
            <w:tcMar>
              <w:left w:w="120" w:type="dxa"/>
            </w:tcMar>
            <w:vAlign w:val="center"/>
          </w:tcPr>
          <w:p w14:paraId="1F7BDECB">
            <w:pPr>
              <w:spacing w:line="240" w:lineRule="auto"/>
              <w:rPr>
                <w:sz w:val="28"/>
                <w:szCs w:val="28"/>
              </w:rPr>
            </w:pPr>
            <w:r>
              <w:rPr>
                <w:rFonts w:ascii="方正黑体_GBK" w:hAnsi="方正黑体_GBK" w:eastAsia="方正黑体_GBK" w:cs="宋体"/>
                <w:sz w:val="20"/>
                <w:szCs w:val="24"/>
              </w:rPr>
              <w:t>96666</w:t>
            </w:r>
          </w:p>
        </w:tc>
      </w:tr>
      <w:tr w14:paraId="3E8C0E4F">
        <w:trPr>
          <w:trHeight w:val="300" w:hRule="atLeast"/>
        </w:trPr>
        <w:tc>
          <w:tcPr>
            <w:tcW w:w="2100" w:type="dxa"/>
            <w:tcMar>
              <w:left w:w="120" w:type="dxa"/>
            </w:tcMar>
            <w:vAlign w:val="center"/>
          </w:tcPr>
          <w:p w14:paraId="430766A0">
            <w:pPr>
              <w:spacing w:line="240" w:lineRule="auto"/>
              <w:rPr>
                <w:sz w:val="28"/>
                <w:szCs w:val="28"/>
              </w:rPr>
            </w:pPr>
            <w:r>
              <w:rPr>
                <w:rFonts w:ascii="方正黑体_GBK" w:hAnsi="方正黑体_GBK" w:eastAsia="方正黑体_GBK" w:cs="宋体"/>
                <w:sz w:val="20"/>
                <w:szCs w:val="24"/>
              </w:rPr>
              <w:t>浙江民泰商业银行股份有限公司</w:t>
            </w:r>
          </w:p>
        </w:tc>
        <w:tc>
          <w:tcPr>
            <w:tcW w:w="4050" w:type="dxa"/>
            <w:tcMar>
              <w:left w:w="120" w:type="dxa"/>
            </w:tcMar>
            <w:vAlign w:val="center"/>
          </w:tcPr>
          <w:p w14:paraId="75712A5F">
            <w:pPr>
              <w:spacing w:line="240" w:lineRule="auto"/>
              <w:rPr>
                <w:sz w:val="28"/>
                <w:szCs w:val="28"/>
              </w:rPr>
            </w:pPr>
            <w:r>
              <w:rPr>
                <w:rFonts w:ascii="方正黑体_GBK" w:hAnsi="方正黑体_GBK" w:eastAsia="方正黑体_GBK" w:cs="宋体"/>
                <w:sz w:val="20"/>
                <w:szCs w:val="24"/>
              </w:rPr>
              <w:t>浙江省温岭市太平街道三星大道168号</w:t>
            </w:r>
          </w:p>
        </w:tc>
        <w:tc>
          <w:tcPr>
            <w:tcW w:w="1350" w:type="dxa"/>
            <w:tcMar>
              <w:left w:w="120" w:type="dxa"/>
            </w:tcMar>
            <w:vAlign w:val="center"/>
          </w:tcPr>
          <w:p w14:paraId="32C50300">
            <w:pPr>
              <w:spacing w:line="240" w:lineRule="auto"/>
              <w:rPr>
                <w:sz w:val="28"/>
                <w:szCs w:val="28"/>
              </w:rPr>
            </w:pPr>
            <w:r>
              <w:rPr>
                <w:rFonts w:ascii="方正黑体_GBK" w:hAnsi="方正黑体_GBK" w:eastAsia="方正黑体_GBK" w:cs="宋体"/>
                <w:sz w:val="20"/>
                <w:szCs w:val="24"/>
              </w:rPr>
              <w:t>95343</w:t>
            </w:r>
          </w:p>
        </w:tc>
      </w:tr>
      <w:tr w14:paraId="6ADBBB17">
        <w:trPr>
          <w:trHeight w:val="300" w:hRule="atLeast"/>
        </w:trPr>
        <w:tc>
          <w:tcPr>
            <w:tcW w:w="2100" w:type="dxa"/>
            <w:tcMar>
              <w:left w:w="120" w:type="dxa"/>
            </w:tcMar>
            <w:vAlign w:val="center"/>
          </w:tcPr>
          <w:p w14:paraId="0DEBF657">
            <w:pPr>
              <w:spacing w:line="240" w:lineRule="auto"/>
              <w:rPr>
                <w:sz w:val="28"/>
                <w:szCs w:val="28"/>
              </w:rPr>
            </w:pPr>
            <w:r>
              <w:rPr>
                <w:rFonts w:ascii="方正黑体_GBK" w:hAnsi="方正黑体_GBK" w:eastAsia="方正黑体_GBK" w:cs="宋体"/>
                <w:sz w:val="20"/>
                <w:szCs w:val="24"/>
              </w:rPr>
              <w:t>江苏仪征农村商业银行股份有限公司</w:t>
            </w:r>
          </w:p>
        </w:tc>
        <w:tc>
          <w:tcPr>
            <w:tcW w:w="4050" w:type="dxa"/>
            <w:tcMar>
              <w:left w:w="120" w:type="dxa"/>
            </w:tcMar>
            <w:vAlign w:val="center"/>
          </w:tcPr>
          <w:p w14:paraId="30778FD6">
            <w:pPr>
              <w:spacing w:line="240" w:lineRule="auto"/>
              <w:rPr>
                <w:sz w:val="28"/>
                <w:szCs w:val="28"/>
              </w:rPr>
            </w:pPr>
            <w:r>
              <w:rPr>
                <w:rFonts w:ascii="方正黑体_GBK" w:hAnsi="方正黑体_GBK" w:eastAsia="方正黑体_GBK" w:cs="宋体"/>
                <w:sz w:val="20"/>
                <w:szCs w:val="24"/>
              </w:rPr>
              <w:t>江苏省仪征市真州镇解放东路818号金融集聚区1座801-811，901-911，1001-1011，2座101</w:t>
            </w:r>
          </w:p>
        </w:tc>
        <w:tc>
          <w:tcPr>
            <w:tcW w:w="1350" w:type="dxa"/>
            <w:tcMar>
              <w:left w:w="120" w:type="dxa"/>
            </w:tcMar>
            <w:vAlign w:val="center"/>
          </w:tcPr>
          <w:p w14:paraId="6CEE8649">
            <w:pPr>
              <w:spacing w:line="240" w:lineRule="auto"/>
              <w:rPr>
                <w:sz w:val="28"/>
                <w:szCs w:val="28"/>
              </w:rPr>
            </w:pPr>
            <w:r>
              <w:rPr>
                <w:rFonts w:ascii="方正黑体_GBK" w:hAnsi="方正黑体_GBK" w:eastAsia="方正黑体_GBK" w:cs="宋体"/>
                <w:sz w:val="20"/>
                <w:szCs w:val="24"/>
              </w:rPr>
              <w:t>96008</w:t>
            </w:r>
          </w:p>
        </w:tc>
      </w:tr>
      <w:tr w14:paraId="33DD8297">
        <w:trPr>
          <w:trHeight w:val="300" w:hRule="atLeast"/>
        </w:trPr>
        <w:tc>
          <w:tcPr>
            <w:tcW w:w="2100" w:type="dxa"/>
            <w:tcMar>
              <w:left w:w="120" w:type="dxa"/>
            </w:tcMar>
            <w:vAlign w:val="center"/>
          </w:tcPr>
          <w:p w14:paraId="179924C7">
            <w:pPr>
              <w:spacing w:line="240" w:lineRule="auto"/>
              <w:rPr>
                <w:sz w:val="28"/>
                <w:szCs w:val="28"/>
              </w:rPr>
            </w:pPr>
            <w:r>
              <w:rPr>
                <w:rFonts w:ascii="方正黑体_GBK" w:hAnsi="方正黑体_GBK" w:eastAsia="方正黑体_GBK" w:cs="宋体"/>
                <w:sz w:val="20"/>
                <w:szCs w:val="24"/>
              </w:rPr>
              <w:t>金华银行股份有限公司</w:t>
            </w:r>
          </w:p>
        </w:tc>
        <w:tc>
          <w:tcPr>
            <w:tcW w:w="4050" w:type="dxa"/>
            <w:tcMar>
              <w:left w:w="120" w:type="dxa"/>
            </w:tcMar>
            <w:vAlign w:val="center"/>
          </w:tcPr>
          <w:p w14:paraId="30C0FD9E">
            <w:pPr>
              <w:spacing w:line="240" w:lineRule="auto"/>
              <w:rPr>
                <w:sz w:val="28"/>
                <w:szCs w:val="28"/>
              </w:rPr>
            </w:pPr>
            <w:r>
              <w:rPr>
                <w:rFonts w:ascii="方正黑体_GBK" w:hAnsi="方正黑体_GBK" w:eastAsia="方正黑体_GBK" w:cs="宋体"/>
                <w:sz w:val="20"/>
                <w:szCs w:val="24"/>
              </w:rPr>
              <w:t>浙江省金华市丹溪路1388号</w:t>
            </w:r>
          </w:p>
        </w:tc>
        <w:tc>
          <w:tcPr>
            <w:tcW w:w="1350" w:type="dxa"/>
            <w:tcMar>
              <w:left w:w="120" w:type="dxa"/>
            </w:tcMar>
            <w:vAlign w:val="center"/>
          </w:tcPr>
          <w:p w14:paraId="595F9883">
            <w:pPr>
              <w:spacing w:line="240" w:lineRule="auto"/>
              <w:rPr>
                <w:sz w:val="28"/>
                <w:szCs w:val="28"/>
              </w:rPr>
            </w:pPr>
            <w:r>
              <w:rPr>
                <w:rFonts w:ascii="方正黑体_GBK" w:hAnsi="方正黑体_GBK" w:eastAsia="方正黑体_GBK" w:cs="宋体"/>
                <w:sz w:val="20"/>
                <w:szCs w:val="24"/>
              </w:rPr>
              <w:t>0579-96528</w:t>
            </w:r>
          </w:p>
        </w:tc>
      </w:tr>
      <w:tr w14:paraId="32FB48FE">
        <w:trPr>
          <w:trHeight w:val="300" w:hRule="atLeast"/>
        </w:trPr>
        <w:tc>
          <w:tcPr>
            <w:tcW w:w="2100" w:type="dxa"/>
            <w:tcMar>
              <w:left w:w="120" w:type="dxa"/>
            </w:tcMar>
            <w:vAlign w:val="center"/>
          </w:tcPr>
          <w:p w14:paraId="69B3A089">
            <w:pPr>
              <w:spacing w:line="240" w:lineRule="auto"/>
              <w:rPr>
                <w:sz w:val="28"/>
                <w:szCs w:val="28"/>
              </w:rPr>
            </w:pPr>
            <w:r>
              <w:rPr>
                <w:rFonts w:ascii="方正黑体_GBK" w:hAnsi="方正黑体_GBK" w:eastAsia="方正黑体_GBK" w:cs="宋体"/>
                <w:sz w:val="20"/>
                <w:szCs w:val="24"/>
              </w:rPr>
              <w:t>吉林银行股份有限公司</w:t>
            </w:r>
          </w:p>
        </w:tc>
        <w:tc>
          <w:tcPr>
            <w:tcW w:w="4050" w:type="dxa"/>
            <w:tcMar>
              <w:left w:w="120" w:type="dxa"/>
            </w:tcMar>
            <w:vAlign w:val="center"/>
          </w:tcPr>
          <w:p w14:paraId="60BA2241">
            <w:pPr>
              <w:spacing w:line="240" w:lineRule="auto"/>
              <w:rPr>
                <w:sz w:val="28"/>
                <w:szCs w:val="28"/>
              </w:rPr>
            </w:pPr>
            <w:r>
              <w:rPr>
                <w:rFonts w:ascii="方正黑体_GBK" w:hAnsi="方正黑体_GBK" w:eastAsia="方正黑体_GBK" w:cs="宋体"/>
                <w:sz w:val="20"/>
                <w:szCs w:val="24"/>
              </w:rPr>
              <w:t>吉林省长春市南关区人民大街10666号</w:t>
            </w:r>
          </w:p>
        </w:tc>
        <w:tc>
          <w:tcPr>
            <w:tcW w:w="1350" w:type="dxa"/>
            <w:tcMar>
              <w:left w:w="120" w:type="dxa"/>
            </w:tcMar>
            <w:vAlign w:val="center"/>
          </w:tcPr>
          <w:p w14:paraId="1AECC07C">
            <w:pPr>
              <w:spacing w:line="240" w:lineRule="auto"/>
              <w:rPr>
                <w:sz w:val="28"/>
                <w:szCs w:val="28"/>
              </w:rPr>
            </w:pPr>
            <w:r>
              <w:rPr>
                <w:rFonts w:ascii="方正黑体_GBK" w:hAnsi="方正黑体_GBK" w:eastAsia="方正黑体_GBK" w:cs="宋体"/>
                <w:sz w:val="20"/>
                <w:szCs w:val="24"/>
              </w:rPr>
              <w:t>0431-84999543</w:t>
            </w:r>
          </w:p>
        </w:tc>
      </w:tr>
      <w:tr w14:paraId="7143FBE6">
        <w:trPr>
          <w:trHeight w:val="300" w:hRule="atLeast"/>
        </w:trPr>
        <w:tc>
          <w:tcPr>
            <w:tcW w:w="2100" w:type="dxa"/>
            <w:tcMar>
              <w:left w:w="120" w:type="dxa"/>
            </w:tcMar>
            <w:vAlign w:val="center"/>
          </w:tcPr>
          <w:p w14:paraId="753305AB">
            <w:pPr>
              <w:spacing w:line="240" w:lineRule="auto"/>
              <w:rPr>
                <w:sz w:val="28"/>
                <w:szCs w:val="28"/>
              </w:rPr>
            </w:pPr>
            <w:r>
              <w:rPr>
                <w:rFonts w:ascii="方正黑体_GBK" w:hAnsi="方正黑体_GBK" w:eastAsia="方正黑体_GBK" w:cs="宋体"/>
                <w:sz w:val="20"/>
                <w:szCs w:val="24"/>
              </w:rPr>
              <w:t>连云港东方农村商业银行股份有限公司</w:t>
            </w:r>
          </w:p>
        </w:tc>
        <w:tc>
          <w:tcPr>
            <w:tcW w:w="4050" w:type="dxa"/>
            <w:tcMar>
              <w:left w:w="120" w:type="dxa"/>
            </w:tcMar>
            <w:vAlign w:val="center"/>
          </w:tcPr>
          <w:p w14:paraId="6983BF2C">
            <w:pPr>
              <w:spacing w:line="240" w:lineRule="auto"/>
              <w:rPr>
                <w:sz w:val="28"/>
                <w:szCs w:val="28"/>
              </w:rPr>
            </w:pPr>
            <w:r>
              <w:rPr>
                <w:rFonts w:ascii="方正黑体_GBK" w:hAnsi="方正黑体_GBK" w:eastAsia="方正黑体_GBK" w:cs="宋体"/>
                <w:sz w:val="20"/>
                <w:szCs w:val="24"/>
              </w:rPr>
              <w:t>江苏省连云港市海州区郁洲南路10号</w:t>
            </w:r>
          </w:p>
        </w:tc>
        <w:tc>
          <w:tcPr>
            <w:tcW w:w="1350" w:type="dxa"/>
            <w:tcMar>
              <w:left w:w="120" w:type="dxa"/>
            </w:tcMar>
            <w:vAlign w:val="center"/>
          </w:tcPr>
          <w:p w14:paraId="54EF8772">
            <w:pPr>
              <w:spacing w:line="240" w:lineRule="auto"/>
              <w:rPr>
                <w:sz w:val="28"/>
                <w:szCs w:val="28"/>
              </w:rPr>
            </w:pPr>
            <w:r>
              <w:rPr>
                <w:rFonts w:ascii="方正黑体_GBK" w:hAnsi="方正黑体_GBK" w:eastAsia="方正黑体_GBK" w:cs="宋体"/>
                <w:sz w:val="20"/>
                <w:szCs w:val="24"/>
              </w:rPr>
              <w:t>96008</w:t>
            </w:r>
          </w:p>
        </w:tc>
      </w:tr>
      <w:tr w14:paraId="5779659D">
        <w:trPr>
          <w:trHeight w:val="300" w:hRule="atLeast"/>
        </w:trPr>
        <w:tc>
          <w:tcPr>
            <w:tcW w:w="2100" w:type="dxa"/>
            <w:tcMar>
              <w:left w:w="120" w:type="dxa"/>
            </w:tcMar>
            <w:vAlign w:val="center"/>
          </w:tcPr>
          <w:p w14:paraId="2606B152">
            <w:pPr>
              <w:spacing w:line="240" w:lineRule="auto"/>
              <w:rPr>
                <w:sz w:val="28"/>
                <w:szCs w:val="28"/>
              </w:rPr>
            </w:pPr>
            <w:r>
              <w:rPr>
                <w:rFonts w:ascii="方正黑体_GBK" w:hAnsi="方正黑体_GBK" w:eastAsia="方正黑体_GBK" w:cs="宋体"/>
                <w:sz w:val="20"/>
                <w:szCs w:val="24"/>
              </w:rPr>
              <w:t>德州银行股份有限公司</w:t>
            </w:r>
          </w:p>
        </w:tc>
        <w:tc>
          <w:tcPr>
            <w:tcW w:w="4050" w:type="dxa"/>
            <w:tcMar>
              <w:left w:w="120" w:type="dxa"/>
            </w:tcMar>
            <w:vAlign w:val="center"/>
          </w:tcPr>
          <w:p w14:paraId="0B45E16A">
            <w:pPr>
              <w:spacing w:line="240" w:lineRule="auto"/>
              <w:rPr>
                <w:sz w:val="28"/>
                <w:szCs w:val="28"/>
              </w:rPr>
            </w:pPr>
            <w:r>
              <w:rPr>
                <w:rFonts w:ascii="方正黑体_GBK" w:hAnsi="方正黑体_GBK" w:eastAsia="方正黑体_GBK" w:cs="宋体"/>
                <w:sz w:val="20"/>
                <w:szCs w:val="24"/>
              </w:rPr>
              <w:t>山东省德州市三八东路1266号</w:t>
            </w:r>
          </w:p>
        </w:tc>
        <w:tc>
          <w:tcPr>
            <w:tcW w:w="1350" w:type="dxa"/>
            <w:tcMar>
              <w:left w:w="120" w:type="dxa"/>
            </w:tcMar>
            <w:vAlign w:val="center"/>
          </w:tcPr>
          <w:p w14:paraId="4FAAC4DA">
            <w:pPr>
              <w:spacing w:line="240" w:lineRule="auto"/>
              <w:rPr>
                <w:sz w:val="28"/>
                <w:szCs w:val="28"/>
              </w:rPr>
            </w:pPr>
            <w:r>
              <w:rPr>
                <w:rFonts w:ascii="方正黑体_GBK" w:hAnsi="方正黑体_GBK" w:eastAsia="方正黑体_GBK" w:cs="宋体"/>
                <w:sz w:val="20"/>
                <w:szCs w:val="24"/>
              </w:rPr>
              <w:t>0534-2291695</w:t>
            </w:r>
          </w:p>
        </w:tc>
      </w:tr>
      <w:tr w14:paraId="76F2710A">
        <w:trPr>
          <w:trHeight w:val="300" w:hRule="atLeast"/>
        </w:trPr>
        <w:tc>
          <w:tcPr>
            <w:tcW w:w="2100" w:type="dxa"/>
            <w:tcMar>
              <w:left w:w="120" w:type="dxa"/>
            </w:tcMar>
            <w:vAlign w:val="center"/>
          </w:tcPr>
          <w:p w14:paraId="26332D46">
            <w:pPr>
              <w:spacing w:line="240" w:lineRule="auto"/>
              <w:rPr>
                <w:sz w:val="28"/>
                <w:szCs w:val="28"/>
              </w:rPr>
            </w:pPr>
            <w:r>
              <w:rPr>
                <w:rFonts w:ascii="方正黑体_GBK" w:hAnsi="方正黑体_GBK" w:eastAsia="方正黑体_GBK" w:cs="宋体"/>
                <w:sz w:val="20"/>
                <w:szCs w:val="24"/>
              </w:rPr>
              <w:t>北京农村商业银行股份有限公司</w:t>
            </w:r>
          </w:p>
        </w:tc>
        <w:tc>
          <w:tcPr>
            <w:tcW w:w="4050" w:type="dxa"/>
            <w:tcMar>
              <w:left w:w="120" w:type="dxa"/>
            </w:tcMar>
            <w:vAlign w:val="center"/>
          </w:tcPr>
          <w:p w14:paraId="014CF2AA">
            <w:pPr>
              <w:spacing w:line="240" w:lineRule="auto"/>
              <w:rPr>
                <w:sz w:val="28"/>
                <w:szCs w:val="28"/>
              </w:rPr>
            </w:pPr>
            <w:r>
              <w:rPr>
                <w:rFonts w:ascii="方正黑体_GBK" w:hAnsi="方正黑体_GBK" w:eastAsia="方正黑体_GBK" w:cs="宋体"/>
                <w:sz w:val="20"/>
                <w:szCs w:val="24"/>
              </w:rPr>
              <w:t>北京市西城区月坛南街1号院2号楼</w:t>
            </w:r>
          </w:p>
        </w:tc>
        <w:tc>
          <w:tcPr>
            <w:tcW w:w="1350" w:type="dxa"/>
            <w:tcMar>
              <w:left w:w="120" w:type="dxa"/>
            </w:tcMar>
            <w:vAlign w:val="center"/>
          </w:tcPr>
          <w:p w14:paraId="49F3707A">
            <w:pPr>
              <w:spacing w:line="240" w:lineRule="auto"/>
              <w:rPr>
                <w:sz w:val="28"/>
                <w:szCs w:val="28"/>
              </w:rPr>
            </w:pPr>
            <w:r>
              <w:rPr>
                <w:rFonts w:ascii="方正黑体_GBK" w:hAnsi="方正黑体_GBK" w:eastAsia="方正黑体_GBK" w:cs="宋体"/>
                <w:sz w:val="20"/>
                <w:szCs w:val="24"/>
              </w:rPr>
              <w:t>010-96198、4008896198</w:t>
            </w:r>
          </w:p>
        </w:tc>
      </w:tr>
      <w:tr w14:paraId="33054EA4">
        <w:trPr>
          <w:trHeight w:val="300" w:hRule="atLeast"/>
        </w:trPr>
        <w:tc>
          <w:tcPr>
            <w:tcW w:w="2100" w:type="dxa"/>
            <w:tcMar>
              <w:left w:w="120" w:type="dxa"/>
            </w:tcMar>
            <w:vAlign w:val="center"/>
          </w:tcPr>
          <w:p w14:paraId="7CF9D2B4">
            <w:pPr>
              <w:spacing w:line="240" w:lineRule="auto"/>
              <w:rPr>
                <w:sz w:val="28"/>
                <w:szCs w:val="28"/>
              </w:rPr>
            </w:pPr>
            <w:r>
              <w:rPr>
                <w:rFonts w:ascii="方正黑体_GBK" w:hAnsi="方正黑体_GBK" w:eastAsia="方正黑体_GBK" w:cs="宋体"/>
                <w:sz w:val="20"/>
                <w:szCs w:val="24"/>
              </w:rPr>
              <w:t>上海农村商业银行股份有限公司</w:t>
            </w:r>
          </w:p>
        </w:tc>
        <w:tc>
          <w:tcPr>
            <w:tcW w:w="4050" w:type="dxa"/>
            <w:tcMar>
              <w:left w:w="120" w:type="dxa"/>
            </w:tcMar>
            <w:vAlign w:val="center"/>
          </w:tcPr>
          <w:p w14:paraId="21716085">
            <w:pPr>
              <w:spacing w:line="240" w:lineRule="auto"/>
              <w:rPr>
                <w:sz w:val="28"/>
                <w:szCs w:val="28"/>
              </w:rPr>
            </w:pPr>
            <w:r>
              <w:rPr>
                <w:rFonts w:ascii="方正黑体_GBK" w:hAnsi="方正黑体_GBK" w:eastAsia="方正黑体_GBK" w:cs="宋体"/>
                <w:sz w:val="20"/>
                <w:szCs w:val="24"/>
              </w:rPr>
              <w:t>上海市黄浦区中山东二路70号</w:t>
            </w:r>
          </w:p>
        </w:tc>
        <w:tc>
          <w:tcPr>
            <w:tcW w:w="1350" w:type="dxa"/>
            <w:tcMar>
              <w:left w:w="120" w:type="dxa"/>
            </w:tcMar>
            <w:vAlign w:val="center"/>
          </w:tcPr>
          <w:p w14:paraId="336A7188">
            <w:pPr>
              <w:spacing w:line="240" w:lineRule="auto"/>
              <w:rPr>
                <w:sz w:val="28"/>
                <w:szCs w:val="28"/>
              </w:rPr>
            </w:pPr>
            <w:r>
              <w:rPr>
                <w:rFonts w:ascii="方正黑体_GBK" w:hAnsi="方正黑体_GBK" w:eastAsia="方正黑体_GBK" w:cs="宋体"/>
                <w:sz w:val="20"/>
                <w:szCs w:val="24"/>
              </w:rPr>
              <w:t>021-962999</w:t>
            </w:r>
          </w:p>
        </w:tc>
      </w:tr>
      <w:tr w14:paraId="67148418">
        <w:trPr>
          <w:trHeight w:val="300" w:hRule="atLeast"/>
        </w:trPr>
        <w:tc>
          <w:tcPr>
            <w:tcW w:w="2100" w:type="dxa"/>
            <w:tcMar>
              <w:left w:w="120" w:type="dxa"/>
            </w:tcMar>
            <w:vAlign w:val="center"/>
          </w:tcPr>
          <w:p w14:paraId="332CFD19">
            <w:pPr>
              <w:spacing w:line="240" w:lineRule="auto"/>
              <w:rPr>
                <w:sz w:val="28"/>
                <w:szCs w:val="28"/>
              </w:rPr>
            </w:pPr>
            <w:r>
              <w:rPr>
                <w:rFonts w:ascii="方正黑体_GBK" w:hAnsi="方正黑体_GBK" w:eastAsia="方正黑体_GBK" w:cs="宋体"/>
                <w:sz w:val="20"/>
                <w:szCs w:val="24"/>
              </w:rPr>
              <w:t>长安银行股份有限公司</w:t>
            </w:r>
          </w:p>
        </w:tc>
        <w:tc>
          <w:tcPr>
            <w:tcW w:w="4050" w:type="dxa"/>
            <w:tcMar>
              <w:left w:w="120" w:type="dxa"/>
            </w:tcMar>
            <w:vAlign w:val="center"/>
          </w:tcPr>
          <w:p w14:paraId="55323E72">
            <w:pPr>
              <w:spacing w:line="240" w:lineRule="auto"/>
              <w:rPr>
                <w:sz w:val="28"/>
                <w:szCs w:val="28"/>
              </w:rPr>
            </w:pPr>
            <w:r>
              <w:rPr>
                <w:rFonts w:ascii="方正黑体_GBK" w:hAnsi="方正黑体_GBK" w:eastAsia="方正黑体_GBK" w:cs="宋体"/>
                <w:sz w:val="20"/>
                <w:szCs w:val="24"/>
              </w:rPr>
              <w:t>西安市高新区高新四路13号1幢1单元10101室</w:t>
            </w:r>
          </w:p>
        </w:tc>
        <w:tc>
          <w:tcPr>
            <w:tcW w:w="1350" w:type="dxa"/>
            <w:tcMar>
              <w:left w:w="120" w:type="dxa"/>
            </w:tcMar>
            <w:vAlign w:val="center"/>
          </w:tcPr>
          <w:p w14:paraId="45783E2B">
            <w:pPr>
              <w:spacing w:line="240" w:lineRule="auto"/>
              <w:rPr>
                <w:sz w:val="28"/>
                <w:szCs w:val="28"/>
              </w:rPr>
            </w:pPr>
            <w:r>
              <w:rPr>
                <w:rFonts w:ascii="方正黑体_GBK" w:hAnsi="方正黑体_GBK" w:eastAsia="方正黑体_GBK" w:cs="宋体"/>
                <w:sz w:val="20"/>
                <w:szCs w:val="24"/>
              </w:rPr>
              <w:t>029-96669</w:t>
            </w:r>
          </w:p>
        </w:tc>
      </w:tr>
      <w:tr w14:paraId="7C2C4261">
        <w:trPr>
          <w:trHeight w:val="300" w:hRule="atLeast"/>
        </w:trPr>
        <w:tc>
          <w:tcPr>
            <w:tcW w:w="2100" w:type="dxa"/>
            <w:tcMar>
              <w:left w:w="120" w:type="dxa"/>
            </w:tcMar>
            <w:vAlign w:val="center"/>
          </w:tcPr>
          <w:p w14:paraId="2F875110">
            <w:pPr>
              <w:spacing w:line="240" w:lineRule="auto"/>
              <w:rPr>
                <w:sz w:val="28"/>
                <w:szCs w:val="28"/>
              </w:rPr>
            </w:pPr>
            <w:r>
              <w:rPr>
                <w:rFonts w:ascii="方正黑体_GBK" w:hAnsi="方正黑体_GBK" w:eastAsia="方正黑体_GBK" w:cs="宋体"/>
                <w:sz w:val="20"/>
                <w:szCs w:val="24"/>
              </w:rPr>
              <w:t>江苏沭阳农村商业银行股份有限公司</w:t>
            </w:r>
          </w:p>
        </w:tc>
        <w:tc>
          <w:tcPr>
            <w:tcW w:w="4050" w:type="dxa"/>
            <w:tcMar>
              <w:left w:w="120" w:type="dxa"/>
            </w:tcMar>
            <w:vAlign w:val="center"/>
          </w:tcPr>
          <w:p w14:paraId="4811292A">
            <w:pPr>
              <w:spacing w:line="240" w:lineRule="auto"/>
              <w:rPr>
                <w:sz w:val="28"/>
                <w:szCs w:val="28"/>
              </w:rPr>
            </w:pPr>
            <w:r>
              <w:rPr>
                <w:rFonts w:ascii="方正黑体_GBK" w:hAnsi="方正黑体_GBK" w:eastAsia="方正黑体_GBK" w:cs="宋体"/>
                <w:sz w:val="20"/>
                <w:szCs w:val="24"/>
              </w:rPr>
              <w:t>沭阳县沭城镇苏州东路与台州南路交汇处</w:t>
            </w:r>
          </w:p>
        </w:tc>
        <w:tc>
          <w:tcPr>
            <w:tcW w:w="1350" w:type="dxa"/>
            <w:tcMar>
              <w:left w:w="120" w:type="dxa"/>
            </w:tcMar>
            <w:vAlign w:val="center"/>
          </w:tcPr>
          <w:p w14:paraId="295CB2CA">
            <w:pPr>
              <w:spacing w:line="240" w:lineRule="auto"/>
              <w:rPr>
                <w:sz w:val="28"/>
                <w:szCs w:val="28"/>
              </w:rPr>
            </w:pPr>
            <w:r>
              <w:rPr>
                <w:rFonts w:ascii="方正黑体_GBK" w:hAnsi="方正黑体_GBK" w:eastAsia="方正黑体_GBK" w:cs="宋体"/>
                <w:sz w:val="20"/>
                <w:szCs w:val="24"/>
              </w:rPr>
              <w:t>96008</w:t>
            </w:r>
          </w:p>
        </w:tc>
      </w:tr>
      <w:tr w14:paraId="5AE0CA54">
        <w:trPr>
          <w:trHeight w:val="300" w:hRule="atLeast"/>
        </w:trPr>
        <w:tc>
          <w:tcPr>
            <w:tcW w:w="2100" w:type="dxa"/>
            <w:tcMar>
              <w:left w:w="120" w:type="dxa"/>
            </w:tcMar>
            <w:vAlign w:val="center"/>
          </w:tcPr>
          <w:p w14:paraId="6443655D">
            <w:pPr>
              <w:spacing w:line="240" w:lineRule="auto"/>
              <w:rPr>
                <w:sz w:val="28"/>
                <w:szCs w:val="28"/>
              </w:rPr>
            </w:pPr>
            <w:r>
              <w:rPr>
                <w:rFonts w:ascii="方正黑体_GBK" w:hAnsi="方正黑体_GBK" w:eastAsia="方正黑体_GBK" w:cs="宋体"/>
                <w:sz w:val="20"/>
                <w:szCs w:val="24"/>
              </w:rPr>
              <w:t>海南农村商业银行股份有限公司</w:t>
            </w:r>
          </w:p>
        </w:tc>
        <w:tc>
          <w:tcPr>
            <w:tcW w:w="4050" w:type="dxa"/>
            <w:tcMar>
              <w:left w:w="120" w:type="dxa"/>
            </w:tcMar>
            <w:vAlign w:val="center"/>
          </w:tcPr>
          <w:p w14:paraId="49FD1D2E">
            <w:pPr>
              <w:spacing w:line="240" w:lineRule="auto"/>
              <w:rPr>
                <w:sz w:val="28"/>
                <w:szCs w:val="28"/>
              </w:rPr>
            </w:pPr>
            <w:r>
              <w:rPr>
                <w:rFonts w:ascii="方正黑体_GBK" w:hAnsi="方正黑体_GBK" w:eastAsia="方正黑体_GBK" w:cs="宋体"/>
                <w:sz w:val="20"/>
                <w:szCs w:val="24"/>
              </w:rPr>
              <w:t>海南省海口市美兰区国兴大道5号海南大厦</w:t>
            </w:r>
          </w:p>
        </w:tc>
        <w:tc>
          <w:tcPr>
            <w:tcW w:w="1350" w:type="dxa"/>
            <w:tcMar>
              <w:left w:w="120" w:type="dxa"/>
            </w:tcMar>
            <w:vAlign w:val="center"/>
          </w:tcPr>
          <w:p w14:paraId="616F5C50">
            <w:pPr>
              <w:spacing w:line="240" w:lineRule="auto"/>
              <w:rPr>
                <w:sz w:val="28"/>
                <w:szCs w:val="28"/>
              </w:rPr>
            </w:pPr>
            <w:r>
              <w:rPr>
                <w:rFonts w:ascii="方正黑体_GBK" w:hAnsi="方正黑体_GBK" w:eastAsia="方正黑体_GBK" w:cs="宋体"/>
                <w:sz w:val="20"/>
                <w:szCs w:val="24"/>
              </w:rPr>
              <w:t>65200533</w:t>
            </w:r>
          </w:p>
        </w:tc>
      </w:tr>
      <w:tr w14:paraId="593FBB33">
        <w:trPr>
          <w:trHeight w:val="300" w:hRule="atLeast"/>
        </w:trPr>
        <w:tc>
          <w:tcPr>
            <w:tcW w:w="2100" w:type="dxa"/>
            <w:tcMar>
              <w:left w:w="120" w:type="dxa"/>
            </w:tcMar>
            <w:vAlign w:val="center"/>
          </w:tcPr>
          <w:p w14:paraId="48E22D00">
            <w:pPr>
              <w:spacing w:line="240" w:lineRule="auto"/>
              <w:rPr>
                <w:sz w:val="28"/>
                <w:szCs w:val="28"/>
              </w:rPr>
            </w:pPr>
            <w:r>
              <w:rPr>
                <w:rFonts w:ascii="方正黑体_GBK" w:hAnsi="方正黑体_GBK" w:eastAsia="方正黑体_GBK" w:cs="宋体"/>
                <w:sz w:val="20"/>
                <w:szCs w:val="24"/>
              </w:rPr>
              <w:t>湖州银行股份有限公司</w:t>
            </w:r>
          </w:p>
        </w:tc>
        <w:tc>
          <w:tcPr>
            <w:tcW w:w="4050" w:type="dxa"/>
            <w:tcMar>
              <w:left w:w="120" w:type="dxa"/>
            </w:tcMar>
            <w:vAlign w:val="center"/>
          </w:tcPr>
          <w:p w14:paraId="08EAA7F1">
            <w:pPr>
              <w:spacing w:line="240" w:lineRule="auto"/>
              <w:rPr>
                <w:sz w:val="28"/>
                <w:szCs w:val="28"/>
              </w:rPr>
            </w:pPr>
            <w:r>
              <w:rPr>
                <w:rFonts w:ascii="方正黑体_GBK" w:hAnsi="方正黑体_GBK" w:eastAsia="方正黑体_GBK" w:cs="宋体"/>
                <w:sz w:val="20"/>
                <w:szCs w:val="24"/>
              </w:rPr>
              <w:t>浙江省湖州市红旗路268号</w:t>
            </w:r>
          </w:p>
        </w:tc>
        <w:tc>
          <w:tcPr>
            <w:tcW w:w="1350" w:type="dxa"/>
            <w:tcMar>
              <w:left w:w="120" w:type="dxa"/>
            </w:tcMar>
            <w:vAlign w:val="center"/>
          </w:tcPr>
          <w:p w14:paraId="1EB31425">
            <w:pPr>
              <w:spacing w:line="240" w:lineRule="auto"/>
              <w:rPr>
                <w:sz w:val="28"/>
                <w:szCs w:val="28"/>
              </w:rPr>
            </w:pPr>
            <w:r>
              <w:rPr>
                <w:rFonts w:ascii="方正黑体_GBK" w:hAnsi="方正黑体_GBK" w:eastAsia="方正黑体_GBK" w:cs="宋体"/>
                <w:sz w:val="20"/>
                <w:szCs w:val="24"/>
              </w:rPr>
              <w:t>40080-96528</w:t>
            </w:r>
          </w:p>
        </w:tc>
      </w:tr>
      <w:tr w14:paraId="2E681E01">
        <w:trPr>
          <w:trHeight w:val="300" w:hRule="atLeast"/>
        </w:trPr>
        <w:tc>
          <w:tcPr>
            <w:tcW w:w="2100" w:type="dxa"/>
            <w:tcMar>
              <w:left w:w="120" w:type="dxa"/>
            </w:tcMar>
            <w:vAlign w:val="center"/>
          </w:tcPr>
          <w:p w14:paraId="77C72585">
            <w:pPr>
              <w:spacing w:line="240" w:lineRule="auto"/>
              <w:rPr>
                <w:sz w:val="28"/>
                <w:szCs w:val="28"/>
              </w:rPr>
            </w:pPr>
            <w:r>
              <w:rPr>
                <w:rFonts w:ascii="方正黑体_GBK" w:hAnsi="方正黑体_GBK" w:eastAsia="方正黑体_GBK" w:cs="宋体"/>
                <w:sz w:val="20"/>
                <w:szCs w:val="24"/>
              </w:rPr>
              <w:t>江苏灌云农村商业银行股份有限公司</w:t>
            </w:r>
          </w:p>
        </w:tc>
        <w:tc>
          <w:tcPr>
            <w:tcW w:w="4050" w:type="dxa"/>
            <w:tcMar>
              <w:left w:w="120" w:type="dxa"/>
            </w:tcMar>
            <w:vAlign w:val="center"/>
          </w:tcPr>
          <w:p w14:paraId="4DCFCC9D">
            <w:pPr>
              <w:spacing w:line="240" w:lineRule="auto"/>
              <w:rPr>
                <w:sz w:val="28"/>
                <w:szCs w:val="28"/>
              </w:rPr>
            </w:pPr>
            <w:r>
              <w:rPr>
                <w:rFonts w:ascii="方正黑体_GBK" w:hAnsi="方正黑体_GBK" w:eastAsia="方正黑体_GBK" w:cs="宋体"/>
                <w:sz w:val="20"/>
                <w:szCs w:val="24"/>
              </w:rPr>
              <w:t>江苏省灌云县伊山镇水利路东侧（人民路与水利路交汇处）</w:t>
            </w:r>
          </w:p>
        </w:tc>
        <w:tc>
          <w:tcPr>
            <w:tcW w:w="1350" w:type="dxa"/>
            <w:tcMar>
              <w:left w:w="120" w:type="dxa"/>
            </w:tcMar>
            <w:vAlign w:val="center"/>
          </w:tcPr>
          <w:p w14:paraId="796BA958">
            <w:pPr>
              <w:spacing w:line="240" w:lineRule="auto"/>
              <w:rPr>
                <w:sz w:val="28"/>
                <w:szCs w:val="28"/>
              </w:rPr>
            </w:pPr>
            <w:r>
              <w:rPr>
                <w:rFonts w:ascii="方正黑体_GBK" w:hAnsi="方正黑体_GBK" w:eastAsia="方正黑体_GBK" w:cs="宋体"/>
                <w:sz w:val="20"/>
                <w:szCs w:val="24"/>
              </w:rPr>
              <w:t>96008</w:t>
            </w:r>
          </w:p>
        </w:tc>
      </w:tr>
      <w:tr w14:paraId="57B6E0C6">
        <w:trPr>
          <w:trHeight w:val="300" w:hRule="atLeast"/>
        </w:trPr>
        <w:tc>
          <w:tcPr>
            <w:tcW w:w="2100" w:type="dxa"/>
            <w:tcMar>
              <w:left w:w="120" w:type="dxa"/>
            </w:tcMar>
            <w:vAlign w:val="center"/>
          </w:tcPr>
          <w:p w14:paraId="4CE03DAA">
            <w:pPr>
              <w:spacing w:line="240" w:lineRule="auto"/>
              <w:rPr>
                <w:sz w:val="28"/>
                <w:szCs w:val="28"/>
              </w:rPr>
            </w:pPr>
            <w:r>
              <w:rPr>
                <w:rFonts w:ascii="方正黑体_GBK" w:hAnsi="方正黑体_GBK" w:eastAsia="方正黑体_GBK" w:cs="宋体"/>
                <w:sz w:val="20"/>
                <w:szCs w:val="24"/>
              </w:rPr>
              <w:t>江苏海安农村商业银行股份有限公司</w:t>
            </w:r>
          </w:p>
        </w:tc>
        <w:tc>
          <w:tcPr>
            <w:tcW w:w="4050" w:type="dxa"/>
            <w:tcMar>
              <w:left w:w="120" w:type="dxa"/>
            </w:tcMar>
            <w:vAlign w:val="center"/>
          </w:tcPr>
          <w:p w14:paraId="3E5F5A85">
            <w:pPr>
              <w:spacing w:line="240" w:lineRule="auto"/>
              <w:rPr>
                <w:sz w:val="28"/>
                <w:szCs w:val="28"/>
              </w:rPr>
            </w:pPr>
            <w:r>
              <w:rPr>
                <w:rFonts w:ascii="方正黑体_GBK" w:hAnsi="方正黑体_GBK" w:eastAsia="方正黑体_GBK" w:cs="宋体"/>
                <w:sz w:val="20"/>
                <w:szCs w:val="24"/>
              </w:rPr>
              <w:t>江苏省海安市长江中路88号(东楼 )</w:t>
            </w:r>
          </w:p>
        </w:tc>
        <w:tc>
          <w:tcPr>
            <w:tcW w:w="1350" w:type="dxa"/>
            <w:tcMar>
              <w:left w:w="120" w:type="dxa"/>
            </w:tcMar>
            <w:vAlign w:val="center"/>
          </w:tcPr>
          <w:p w14:paraId="72A77CF7">
            <w:pPr>
              <w:spacing w:line="240" w:lineRule="auto"/>
              <w:rPr>
                <w:sz w:val="28"/>
                <w:szCs w:val="28"/>
              </w:rPr>
            </w:pPr>
            <w:r>
              <w:rPr>
                <w:rFonts w:ascii="方正黑体_GBK" w:hAnsi="方正黑体_GBK" w:eastAsia="方正黑体_GBK" w:cs="宋体"/>
                <w:sz w:val="20"/>
                <w:szCs w:val="24"/>
              </w:rPr>
              <w:t>96008</w:t>
            </w:r>
          </w:p>
        </w:tc>
      </w:tr>
      <w:tr w14:paraId="75C751AC">
        <w:trPr>
          <w:trHeight w:val="300" w:hRule="atLeast"/>
        </w:trPr>
        <w:tc>
          <w:tcPr>
            <w:tcW w:w="2100" w:type="dxa"/>
            <w:tcMar>
              <w:left w:w="120" w:type="dxa"/>
            </w:tcMar>
            <w:vAlign w:val="center"/>
          </w:tcPr>
          <w:p w14:paraId="675F55A3">
            <w:pPr>
              <w:spacing w:line="240" w:lineRule="auto"/>
              <w:rPr>
                <w:sz w:val="28"/>
                <w:szCs w:val="28"/>
              </w:rPr>
            </w:pPr>
            <w:r>
              <w:rPr>
                <w:rFonts w:ascii="方正黑体_GBK" w:hAnsi="方正黑体_GBK" w:eastAsia="方正黑体_GBK" w:cs="宋体"/>
                <w:sz w:val="20"/>
                <w:szCs w:val="24"/>
              </w:rPr>
              <w:t>江苏昆山农村商业银行股份有限公司</w:t>
            </w:r>
          </w:p>
        </w:tc>
        <w:tc>
          <w:tcPr>
            <w:tcW w:w="4050" w:type="dxa"/>
            <w:tcMar>
              <w:left w:w="120" w:type="dxa"/>
            </w:tcMar>
            <w:vAlign w:val="center"/>
          </w:tcPr>
          <w:p w14:paraId="78FDC97E">
            <w:pPr>
              <w:spacing w:line="240" w:lineRule="auto"/>
              <w:rPr>
                <w:sz w:val="28"/>
                <w:szCs w:val="28"/>
              </w:rPr>
            </w:pPr>
            <w:r>
              <w:rPr>
                <w:rFonts w:ascii="方正黑体_GBK" w:hAnsi="方正黑体_GBK" w:eastAsia="方正黑体_GBK" w:cs="宋体"/>
                <w:sz w:val="20"/>
                <w:szCs w:val="24"/>
              </w:rPr>
              <w:t>江苏省昆山市前进东路828号</w:t>
            </w:r>
          </w:p>
        </w:tc>
        <w:tc>
          <w:tcPr>
            <w:tcW w:w="1350" w:type="dxa"/>
            <w:tcMar>
              <w:left w:w="120" w:type="dxa"/>
            </w:tcMar>
            <w:vAlign w:val="center"/>
          </w:tcPr>
          <w:p w14:paraId="3537B01A">
            <w:pPr>
              <w:spacing w:line="240" w:lineRule="auto"/>
              <w:rPr>
                <w:sz w:val="28"/>
                <w:szCs w:val="28"/>
              </w:rPr>
            </w:pPr>
            <w:r>
              <w:rPr>
                <w:rFonts w:ascii="方正黑体_GBK" w:hAnsi="方正黑体_GBK" w:eastAsia="方正黑体_GBK" w:cs="宋体"/>
                <w:sz w:val="20"/>
                <w:szCs w:val="24"/>
              </w:rPr>
              <w:t>0512-96079</w:t>
            </w:r>
          </w:p>
        </w:tc>
      </w:tr>
      <w:tr w14:paraId="69DF8C27">
        <w:trPr>
          <w:trHeight w:val="300" w:hRule="atLeast"/>
        </w:trPr>
        <w:tc>
          <w:tcPr>
            <w:tcW w:w="2100" w:type="dxa"/>
            <w:tcMar>
              <w:left w:w="120" w:type="dxa"/>
            </w:tcMar>
            <w:vAlign w:val="center"/>
          </w:tcPr>
          <w:p w14:paraId="6C514BD4">
            <w:pPr>
              <w:spacing w:line="240" w:lineRule="auto"/>
              <w:rPr>
                <w:sz w:val="28"/>
                <w:szCs w:val="28"/>
              </w:rPr>
            </w:pPr>
            <w:r>
              <w:rPr>
                <w:rFonts w:ascii="方正黑体_GBK" w:hAnsi="方正黑体_GBK" w:eastAsia="方正黑体_GBK" w:cs="宋体"/>
                <w:sz w:val="20"/>
                <w:szCs w:val="24"/>
              </w:rPr>
              <w:t>广州农村商业银行股份有限公司</w:t>
            </w:r>
          </w:p>
        </w:tc>
        <w:tc>
          <w:tcPr>
            <w:tcW w:w="4050" w:type="dxa"/>
            <w:tcMar>
              <w:left w:w="120" w:type="dxa"/>
            </w:tcMar>
            <w:vAlign w:val="center"/>
          </w:tcPr>
          <w:p w14:paraId="05A318CE">
            <w:pPr>
              <w:spacing w:line="240" w:lineRule="auto"/>
              <w:rPr>
                <w:sz w:val="28"/>
                <w:szCs w:val="28"/>
              </w:rPr>
            </w:pPr>
            <w:r>
              <w:rPr>
                <w:rFonts w:ascii="方正黑体_GBK" w:hAnsi="方正黑体_GBK" w:eastAsia="方正黑体_GBK" w:cs="宋体"/>
                <w:sz w:val="20"/>
                <w:szCs w:val="24"/>
              </w:rPr>
              <w:t>广州市黄埔区映日路9号</w:t>
            </w:r>
          </w:p>
        </w:tc>
        <w:tc>
          <w:tcPr>
            <w:tcW w:w="1350" w:type="dxa"/>
            <w:tcMar>
              <w:left w:w="120" w:type="dxa"/>
            </w:tcMar>
            <w:vAlign w:val="center"/>
          </w:tcPr>
          <w:p w14:paraId="55CE2597">
            <w:pPr>
              <w:spacing w:line="240" w:lineRule="auto"/>
              <w:rPr>
                <w:sz w:val="28"/>
                <w:szCs w:val="28"/>
              </w:rPr>
            </w:pPr>
            <w:r>
              <w:rPr>
                <w:rFonts w:ascii="方正黑体_GBK" w:hAnsi="方正黑体_GBK" w:eastAsia="方正黑体_GBK" w:cs="宋体"/>
                <w:sz w:val="20"/>
                <w:szCs w:val="24"/>
              </w:rPr>
              <w:t>95313</w:t>
            </w:r>
          </w:p>
        </w:tc>
      </w:tr>
      <w:tr w14:paraId="5101BB74">
        <w:trPr>
          <w:trHeight w:val="300" w:hRule="atLeast"/>
        </w:trPr>
        <w:tc>
          <w:tcPr>
            <w:tcW w:w="2100" w:type="dxa"/>
            <w:tcMar>
              <w:left w:w="120" w:type="dxa"/>
            </w:tcMar>
            <w:vAlign w:val="center"/>
          </w:tcPr>
          <w:p w14:paraId="78B432A8">
            <w:pPr>
              <w:spacing w:line="240" w:lineRule="auto"/>
              <w:rPr>
                <w:sz w:val="28"/>
                <w:szCs w:val="28"/>
              </w:rPr>
            </w:pPr>
            <w:r>
              <w:rPr>
                <w:rFonts w:ascii="方正黑体_GBK" w:hAnsi="方正黑体_GBK" w:eastAsia="方正黑体_GBK" w:cs="宋体"/>
                <w:sz w:val="20"/>
                <w:szCs w:val="24"/>
              </w:rPr>
              <w:t>江苏泰州农村商业银行股份有限公司</w:t>
            </w:r>
          </w:p>
        </w:tc>
        <w:tc>
          <w:tcPr>
            <w:tcW w:w="4050" w:type="dxa"/>
            <w:tcMar>
              <w:left w:w="120" w:type="dxa"/>
            </w:tcMar>
            <w:vAlign w:val="center"/>
          </w:tcPr>
          <w:p w14:paraId="75FB808E">
            <w:pPr>
              <w:spacing w:line="240" w:lineRule="auto"/>
              <w:rPr>
                <w:sz w:val="28"/>
                <w:szCs w:val="28"/>
              </w:rPr>
            </w:pPr>
            <w:r>
              <w:rPr>
                <w:rFonts w:ascii="方正黑体_GBK" w:hAnsi="方正黑体_GBK" w:eastAsia="方正黑体_GBK" w:cs="宋体"/>
                <w:sz w:val="20"/>
                <w:szCs w:val="24"/>
              </w:rPr>
              <w:t>泰州市海陵区西仓路36号</w:t>
            </w:r>
          </w:p>
        </w:tc>
        <w:tc>
          <w:tcPr>
            <w:tcW w:w="1350" w:type="dxa"/>
            <w:tcMar>
              <w:left w:w="120" w:type="dxa"/>
            </w:tcMar>
            <w:vAlign w:val="center"/>
          </w:tcPr>
          <w:p w14:paraId="787EB270">
            <w:pPr>
              <w:spacing w:line="240" w:lineRule="auto"/>
              <w:rPr>
                <w:sz w:val="28"/>
                <w:szCs w:val="28"/>
              </w:rPr>
            </w:pPr>
            <w:r>
              <w:rPr>
                <w:rFonts w:ascii="方正黑体_GBK" w:hAnsi="方正黑体_GBK" w:eastAsia="方正黑体_GBK" w:cs="宋体"/>
                <w:sz w:val="20"/>
                <w:szCs w:val="24"/>
              </w:rPr>
              <w:t>96008</w:t>
            </w:r>
          </w:p>
        </w:tc>
      </w:tr>
      <w:tr w14:paraId="2F3B683D">
        <w:trPr>
          <w:trHeight w:val="300" w:hRule="atLeast"/>
        </w:trPr>
        <w:tc>
          <w:tcPr>
            <w:tcW w:w="2100" w:type="dxa"/>
            <w:tcMar>
              <w:left w:w="120" w:type="dxa"/>
            </w:tcMar>
            <w:vAlign w:val="center"/>
          </w:tcPr>
          <w:p w14:paraId="769DEE80">
            <w:pPr>
              <w:spacing w:line="240" w:lineRule="auto"/>
              <w:rPr>
                <w:sz w:val="28"/>
                <w:szCs w:val="28"/>
              </w:rPr>
            </w:pPr>
            <w:r>
              <w:rPr>
                <w:rFonts w:ascii="方正黑体_GBK" w:hAnsi="方正黑体_GBK" w:eastAsia="方正黑体_GBK" w:cs="宋体"/>
                <w:sz w:val="20"/>
                <w:szCs w:val="24"/>
              </w:rPr>
              <w:t>朝阳银行股份有限公司</w:t>
            </w:r>
          </w:p>
        </w:tc>
        <w:tc>
          <w:tcPr>
            <w:tcW w:w="4050" w:type="dxa"/>
            <w:tcMar>
              <w:left w:w="120" w:type="dxa"/>
            </w:tcMar>
            <w:vAlign w:val="center"/>
          </w:tcPr>
          <w:p w14:paraId="2236A96F">
            <w:pPr>
              <w:spacing w:line="240" w:lineRule="auto"/>
              <w:rPr>
                <w:sz w:val="28"/>
                <w:szCs w:val="28"/>
              </w:rPr>
            </w:pPr>
            <w:r>
              <w:rPr>
                <w:rFonts w:ascii="方正黑体_GBK" w:hAnsi="方正黑体_GBK" w:eastAsia="方正黑体_GBK" w:cs="宋体"/>
                <w:sz w:val="20"/>
                <w:szCs w:val="24"/>
              </w:rPr>
              <w:t>朝阳市双塔区朝阳大街三段4号</w:t>
            </w:r>
          </w:p>
        </w:tc>
        <w:tc>
          <w:tcPr>
            <w:tcW w:w="1350" w:type="dxa"/>
            <w:tcMar>
              <w:left w:w="120" w:type="dxa"/>
            </w:tcMar>
            <w:vAlign w:val="center"/>
          </w:tcPr>
          <w:p w14:paraId="373485C1">
            <w:pPr>
              <w:spacing w:line="240" w:lineRule="auto"/>
              <w:rPr>
                <w:sz w:val="28"/>
                <w:szCs w:val="28"/>
              </w:rPr>
            </w:pPr>
            <w:r>
              <w:rPr>
                <w:rFonts w:ascii="方正黑体_GBK" w:hAnsi="方正黑体_GBK" w:eastAsia="方正黑体_GBK" w:cs="宋体"/>
                <w:sz w:val="20"/>
                <w:szCs w:val="24"/>
              </w:rPr>
              <w:t>0421-2632275</w:t>
            </w:r>
          </w:p>
        </w:tc>
      </w:tr>
    </w:tbl>
    <w:p w14:paraId="7009AD82">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（二）关联关系信息</w:t>
      </w:r>
    </w:p>
    <w:p w14:paraId="0EBC0D8E">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（1）与管理人有关联关系的机构信息如下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389C8C32">
        <w:trPr>
          <w:trHeight w:val="300" w:hRule="atLeast"/>
        </w:trPr>
        <w:tc>
          <w:tcPr>
            <w:tcW w:w="3000" w:type="dxa"/>
            <w:vAlign w:val="center"/>
          </w:tcPr>
          <w:p w14:paraId="46902C9E">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5E5C6BCA">
            <w:pPr>
              <w:spacing w:line="240" w:lineRule="auto"/>
              <w:jc w:val="center"/>
              <w:rPr>
                <w:sz w:val="28"/>
                <w:szCs w:val="28"/>
              </w:rPr>
            </w:pPr>
            <w:r>
              <w:rPr>
                <w:rFonts w:ascii="方正黑体_GBK" w:hAnsi="方正黑体_GBK" w:eastAsia="方正黑体_GBK" w:cs="宋体"/>
                <w:b/>
                <w:sz w:val="20"/>
                <w:szCs w:val="24"/>
              </w:rPr>
              <w:t>关联关系</w:t>
            </w:r>
          </w:p>
        </w:tc>
      </w:tr>
      <w:tr w14:paraId="5C1C736B">
        <w:trPr>
          <w:trHeight w:val="300" w:hRule="atLeast"/>
        </w:trPr>
        <w:tc>
          <w:tcPr>
            <w:tcW w:w="3000" w:type="dxa"/>
            <w:tcMar>
              <w:left w:w="120" w:type="dxa"/>
            </w:tcMar>
            <w:vAlign w:val="center"/>
          </w:tcPr>
          <w:p w14:paraId="1483D4D9">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500" w:type="dxa"/>
            <w:tcMar>
              <w:left w:w="120" w:type="dxa"/>
            </w:tcMar>
            <w:vAlign w:val="center"/>
          </w:tcPr>
          <w:p w14:paraId="43D3B553">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60FC1375">
        <w:trPr>
          <w:trHeight w:val="300" w:hRule="atLeast"/>
        </w:trPr>
        <w:tc>
          <w:tcPr>
            <w:tcW w:w="3000" w:type="dxa"/>
            <w:tcMar>
              <w:left w:w="120" w:type="dxa"/>
            </w:tcMar>
            <w:vAlign w:val="center"/>
          </w:tcPr>
          <w:p w14:paraId="7A63F784">
            <w:pPr>
              <w:spacing w:line="240" w:lineRule="auto"/>
              <w:rPr>
                <w:sz w:val="28"/>
                <w:szCs w:val="28"/>
              </w:rPr>
            </w:pPr>
            <w:r>
              <w:rPr>
                <w:rFonts w:ascii="方正黑体_GBK" w:hAnsi="方正黑体_GBK" w:eastAsia="方正黑体_GBK" w:cs="宋体"/>
                <w:sz w:val="20"/>
                <w:szCs w:val="24"/>
              </w:rPr>
              <w:t>江苏江南农村商业银行股份有限公司</w:t>
            </w:r>
          </w:p>
        </w:tc>
        <w:tc>
          <w:tcPr>
            <w:tcW w:w="4500" w:type="dxa"/>
            <w:tcMar>
              <w:left w:w="120" w:type="dxa"/>
            </w:tcMar>
            <w:vAlign w:val="center"/>
          </w:tcPr>
          <w:p w14:paraId="7A4655E2">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5C1B24A8">
        <w:trPr>
          <w:trHeight w:val="300" w:hRule="atLeast"/>
        </w:trPr>
        <w:tc>
          <w:tcPr>
            <w:tcW w:w="3000" w:type="dxa"/>
            <w:tcMar>
              <w:left w:w="120" w:type="dxa"/>
            </w:tcMar>
            <w:vAlign w:val="center"/>
          </w:tcPr>
          <w:p w14:paraId="64D3A8BD">
            <w:pPr>
              <w:spacing w:line="240" w:lineRule="auto"/>
              <w:rPr>
                <w:sz w:val="28"/>
                <w:szCs w:val="28"/>
              </w:rPr>
            </w:pPr>
            <w:r>
              <w:rPr>
                <w:rFonts w:ascii="方正黑体_GBK" w:hAnsi="方正黑体_GBK" w:eastAsia="方正黑体_GBK" w:cs="宋体"/>
                <w:sz w:val="20"/>
                <w:szCs w:val="24"/>
              </w:rPr>
              <w:t>南京银行股份有限公司</w:t>
            </w:r>
          </w:p>
        </w:tc>
        <w:tc>
          <w:tcPr>
            <w:tcW w:w="4500" w:type="dxa"/>
            <w:tcMar>
              <w:left w:w="120" w:type="dxa"/>
            </w:tcMar>
            <w:vAlign w:val="center"/>
          </w:tcPr>
          <w:p w14:paraId="668DE373">
            <w:pPr>
              <w:spacing w:line="240" w:lineRule="auto"/>
              <w:rPr>
                <w:sz w:val="28"/>
                <w:szCs w:val="28"/>
              </w:rPr>
            </w:pPr>
            <w:r>
              <w:rPr>
                <w:rFonts w:ascii="方正黑体_GBK" w:hAnsi="方正黑体_GBK" w:eastAsia="方正黑体_GBK" w:cs="宋体"/>
                <w:sz w:val="20"/>
                <w:szCs w:val="24"/>
              </w:rPr>
              <w:t>发行机构股东</w:t>
            </w:r>
          </w:p>
        </w:tc>
      </w:tr>
    </w:tbl>
    <w:p w14:paraId="5524F89B">
      <w:pPr>
        <w:pStyle w:val="29"/>
        <w:spacing w:line="240" w:lineRule="auto"/>
        <w:ind w:firstLine="400" w:firstLineChars="200"/>
        <w:rPr>
          <w:rFonts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（2）与托管人有关联关系的机构信息如下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53355D24">
        <w:trPr>
          <w:trHeight w:val="300" w:hRule="atLeast"/>
        </w:trPr>
        <w:tc>
          <w:tcPr>
            <w:tcW w:w="3000" w:type="dxa"/>
            <w:vAlign w:val="center"/>
          </w:tcPr>
          <w:p w14:paraId="70E4D3A8">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6B8F907D">
            <w:pPr>
              <w:spacing w:line="240" w:lineRule="auto"/>
              <w:jc w:val="center"/>
              <w:rPr>
                <w:sz w:val="28"/>
                <w:szCs w:val="28"/>
              </w:rPr>
            </w:pPr>
            <w:r>
              <w:rPr>
                <w:rFonts w:ascii="方正黑体_GBK" w:hAnsi="方正黑体_GBK" w:eastAsia="方正黑体_GBK" w:cs="宋体"/>
                <w:b/>
                <w:sz w:val="20"/>
                <w:szCs w:val="24"/>
              </w:rPr>
              <w:t>关联关系</w:t>
            </w:r>
          </w:p>
        </w:tc>
      </w:tr>
      <w:tr w14:paraId="6A6EE2DB">
        <w:trPr>
          <w:trHeight w:val="300" w:hRule="atLeast"/>
        </w:trPr>
        <w:tc>
          <w:tcPr>
            <w:tcW w:w="3000" w:type="dxa"/>
            <w:tcMar>
              <w:left w:w="120" w:type="dxa"/>
            </w:tcMar>
            <w:vAlign w:val="center"/>
          </w:tcPr>
          <w:p w14:paraId="5424A5F8">
            <w:pPr>
              <w:spacing w:line="240" w:lineRule="auto"/>
              <w:rPr>
                <w:sz w:val="28"/>
                <w:szCs w:val="28"/>
              </w:rPr>
            </w:pPr>
            <w:r>
              <w:rPr>
                <w:rFonts w:ascii="方正黑体_GBK" w:hAnsi="方正黑体_GBK" w:eastAsia="方正黑体_GBK" w:cs="宋体"/>
                <w:sz w:val="20"/>
                <w:szCs w:val="24"/>
              </w:rPr>
              <w:t>江苏紫金农村商业银行股份有限公司</w:t>
            </w:r>
          </w:p>
        </w:tc>
        <w:tc>
          <w:tcPr>
            <w:tcW w:w="4500" w:type="dxa"/>
            <w:tcMar>
              <w:left w:w="120" w:type="dxa"/>
            </w:tcMar>
            <w:vAlign w:val="center"/>
          </w:tcPr>
          <w:p w14:paraId="299FE6B2">
            <w:pPr>
              <w:spacing w:line="240" w:lineRule="auto"/>
              <w:rPr>
                <w:sz w:val="28"/>
                <w:szCs w:val="28"/>
              </w:rPr>
            </w:pPr>
            <w:r>
              <w:rPr>
                <w:rFonts w:ascii="方正黑体_GBK" w:hAnsi="方正黑体_GBK" w:eastAsia="方正黑体_GBK" w:cs="宋体"/>
                <w:sz w:val="20"/>
                <w:szCs w:val="24"/>
              </w:rPr>
              <w:t>与托管机构存在重大利害关系</w:t>
            </w:r>
          </w:p>
        </w:tc>
      </w:tr>
      <w:tr w14:paraId="639C4C38">
        <w:trPr>
          <w:trHeight w:val="300" w:hRule="atLeast"/>
        </w:trPr>
        <w:tc>
          <w:tcPr>
            <w:tcW w:w="3000" w:type="dxa"/>
            <w:tcMar>
              <w:left w:w="120" w:type="dxa"/>
            </w:tcMar>
            <w:vAlign w:val="center"/>
          </w:tcPr>
          <w:p w14:paraId="571B7F12">
            <w:pPr>
              <w:spacing w:line="240" w:lineRule="auto"/>
              <w:rPr>
                <w:sz w:val="28"/>
                <w:szCs w:val="28"/>
              </w:rPr>
            </w:pPr>
            <w:r>
              <w:rPr>
                <w:rFonts w:ascii="方正黑体_GBK" w:hAnsi="方正黑体_GBK" w:eastAsia="方正黑体_GBK" w:cs="宋体"/>
                <w:sz w:val="20"/>
                <w:szCs w:val="24"/>
              </w:rPr>
              <w:t>南银理财有限责任公司</w:t>
            </w:r>
          </w:p>
        </w:tc>
        <w:tc>
          <w:tcPr>
            <w:tcW w:w="4500" w:type="dxa"/>
            <w:tcMar>
              <w:left w:w="120" w:type="dxa"/>
            </w:tcMar>
            <w:vAlign w:val="center"/>
          </w:tcPr>
          <w:p w14:paraId="0E609F20">
            <w:pPr>
              <w:spacing w:line="240" w:lineRule="auto"/>
              <w:rPr>
                <w:sz w:val="28"/>
                <w:szCs w:val="28"/>
              </w:rPr>
            </w:pPr>
            <w:r>
              <w:rPr>
                <w:rFonts w:ascii="方正黑体_GBK" w:hAnsi="方正黑体_GBK" w:eastAsia="方正黑体_GBK" w:cs="宋体"/>
                <w:sz w:val="20"/>
                <w:szCs w:val="24"/>
              </w:rPr>
              <w:t>托管机构的控股机构</w:t>
            </w:r>
          </w:p>
        </w:tc>
      </w:tr>
    </w:tbl>
    <w:p w14:paraId="288A2CD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629DA2BB">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51927132">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vanish w:val="0"/>
          <w:color w:val="3D3D3D"/>
          <w:kern w:val="0"/>
          <w:sz w:val="20"/>
          <w:szCs w:val="20"/>
        </w:rPr>
      </w:pPr>
      <w:r>
        <w:rPr>
          <w:rFonts w:ascii="方正黑体_GBK" w:hAnsi="方正黑体_GBK" w:eastAsia="方正黑体_GBK"/>
          <w:vanish w:val="0"/>
          <w:color w:val="3D3D3D"/>
          <w:kern w:val="0"/>
          <w:sz w:val="20"/>
          <w:szCs w:val="20"/>
        </w:rPr>
        <w:t>本理财产品的信息披露渠道至少包括行业统一信息披露渠道中国理财网（www.chinawealth.com.cn），其他信息披露渠道包括但不限于南银理财官网（www.nanyinwealth.com），销售机构的营业网点、官方网站、网上银行、手机银行、电话和短信等（将使用其中一种或多种渠道进行信息披露）。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r>
        <w:rPr>
          <w:rFonts w:hint="eastAsia" w:ascii="方正黑体_GBK" w:hAnsi="方正黑体_GBK" w:eastAsia="方正黑体_GBK"/>
          <w:vanish w:val="0"/>
          <w:color w:val="3D3D3D"/>
          <w:kern w:val="0"/>
          <w:sz w:val="20"/>
          <w:szCs w:val="20"/>
        </w:rPr>
        <w:t>。</w:t>
      </w:r>
    </w:p>
    <w:p w14:paraId="4B81BC65">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44423F3B">
      <w:pPr>
        <w:spacing w:line="240" w:lineRule="auto"/>
        <w:ind w:firstLine="300"/>
        <w:rPr>
          <w:sz w:val="28"/>
          <w:szCs w:val="28"/>
        </w:rPr>
      </w:pPr>
      <w:r>
        <w:rPr>
          <w:rFonts w:ascii="方正黑体_GBK" w:hAnsi="方正黑体_GBK" w:eastAsia="方正黑体_GBK" w:cs="宋体"/>
          <w:sz w:val="20"/>
          <w:szCs w:val="24"/>
        </w:rPr>
        <w:t>1.净值信息</w:t>
      </w:r>
    </w:p>
    <w:p w14:paraId="1C84FE1B">
      <w:pPr>
        <w:spacing w:line="240" w:lineRule="auto"/>
        <w:ind w:firstLine="300"/>
        <w:rPr>
          <w:sz w:val="28"/>
          <w:szCs w:val="28"/>
        </w:rPr>
      </w:pPr>
      <w:r>
        <w:rPr>
          <w:rFonts w:ascii="方正黑体_GBK" w:hAnsi="方正黑体_GBK" w:eastAsia="方正黑体_GBK" w:cs="宋体"/>
          <w:sz w:val="20"/>
          <w:szCs w:val="24"/>
        </w:rPr>
        <w:t>管理人在本理财产品存续期间至少按周向投资者披露净值。</w:t>
      </w:r>
    </w:p>
    <w:p w14:paraId="30A70524">
      <w:pPr>
        <w:spacing w:line="240" w:lineRule="auto"/>
        <w:ind w:firstLine="300"/>
        <w:rPr>
          <w:sz w:val="28"/>
          <w:szCs w:val="28"/>
        </w:rPr>
      </w:pPr>
      <w:r>
        <w:rPr>
          <w:rFonts w:ascii="方正黑体_GBK" w:hAnsi="方正黑体_GBK" w:eastAsia="方正黑体_GBK" w:cs="宋体"/>
          <w:sz w:val="20"/>
          <w:szCs w:val="24"/>
        </w:rPr>
        <w:t>2.产品发行公告</w:t>
      </w:r>
    </w:p>
    <w:p w14:paraId="3E31CCFF">
      <w:pPr>
        <w:spacing w:line="240" w:lineRule="auto"/>
        <w:ind w:firstLine="300"/>
        <w:rPr>
          <w:sz w:val="28"/>
          <w:szCs w:val="28"/>
        </w:rPr>
      </w:pPr>
      <w:r>
        <w:rPr>
          <w:rFonts w:ascii="方正黑体_GBK" w:hAnsi="方正黑体_GBK" w:eastAsia="方正黑体_GBK" w:cs="宋体"/>
          <w:sz w:val="20"/>
          <w:szCs w:val="24"/>
        </w:rPr>
        <w:t>管理人将在本理财产品成立后5个工作日内披露产品发行公告。</w:t>
      </w:r>
    </w:p>
    <w:p w14:paraId="37A95721">
      <w:pPr>
        <w:spacing w:line="240" w:lineRule="auto"/>
        <w:ind w:firstLine="300"/>
        <w:rPr>
          <w:sz w:val="28"/>
          <w:szCs w:val="28"/>
        </w:rPr>
      </w:pPr>
      <w:r>
        <w:rPr>
          <w:rFonts w:ascii="方正黑体_GBK" w:hAnsi="方正黑体_GBK" w:eastAsia="方正黑体_GBK" w:cs="宋体"/>
          <w:sz w:val="20"/>
          <w:szCs w:val="24"/>
        </w:rPr>
        <w:t>3.定期报告</w:t>
      </w:r>
    </w:p>
    <w:p w14:paraId="0A549AAC">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披露产品的季度报告，每年8月31日前披露产品的半年度报告，每年4月30日前披露产品上一年度的年度报告。如果本理财产品成立不足90个自然日，管理人可以不编制产品当期的季度、半年和年度报告。首次定期报告的报告期（季度、半年或年度）从成立日开始至第一个报告期末。如本理财产品期限超过90个自然日，在存续期内至少披露一次定期报告。如果本理财产品剩余存续期不足完整报告期，且到期公告或清算报告包括对应定期报告内容的，管理人可以不编制产品剩余存续期所对应的季度、半年和年度报告。具体披露以最新监管规定及自律规范规定为准。</w:t>
      </w:r>
    </w:p>
    <w:p w14:paraId="0DC5165A">
      <w:pPr>
        <w:spacing w:line="240" w:lineRule="auto"/>
        <w:ind w:firstLine="300"/>
        <w:rPr>
          <w:sz w:val="28"/>
          <w:szCs w:val="28"/>
        </w:rPr>
      </w:pPr>
      <w:r>
        <w:rPr>
          <w:rFonts w:ascii="方正黑体_GBK" w:hAnsi="方正黑体_GBK" w:eastAsia="方正黑体_GBK" w:cs="宋体"/>
          <w:sz w:val="20"/>
          <w:szCs w:val="24"/>
        </w:rPr>
        <w:t>4.到期公告</w:t>
      </w:r>
    </w:p>
    <w:p w14:paraId="5D5E9498">
      <w:pPr>
        <w:spacing w:line="240" w:lineRule="auto"/>
        <w:ind w:firstLine="300"/>
        <w:rPr>
          <w:sz w:val="28"/>
          <w:szCs w:val="28"/>
        </w:rPr>
      </w:pPr>
      <w:r>
        <w:rPr>
          <w:rFonts w:ascii="方正黑体_GBK" w:hAnsi="方正黑体_GBK" w:eastAsia="方正黑体_GBK" w:cs="宋体"/>
          <w:sz w:val="20"/>
          <w:szCs w:val="24"/>
        </w:rPr>
        <w:t>管理人将在本理财产品终止后5个工作日内披露产品到期公告。</w:t>
      </w:r>
    </w:p>
    <w:p w14:paraId="0FFD9E29">
      <w:pPr>
        <w:spacing w:line="240" w:lineRule="auto"/>
        <w:ind w:firstLine="300"/>
        <w:rPr>
          <w:sz w:val="28"/>
          <w:szCs w:val="28"/>
        </w:rPr>
      </w:pPr>
      <w:r>
        <w:rPr>
          <w:rFonts w:ascii="方正黑体_GBK" w:hAnsi="方正黑体_GBK" w:eastAsia="方正黑体_GBK" w:cs="宋体"/>
          <w:sz w:val="20"/>
          <w:szCs w:val="24"/>
        </w:rPr>
        <w:t>5.重大事项公告</w:t>
      </w:r>
    </w:p>
    <w:p w14:paraId="04094BEE">
      <w:pPr>
        <w:spacing w:line="240" w:lineRule="auto"/>
        <w:ind w:firstLine="300"/>
        <w:rPr>
          <w:sz w:val="28"/>
          <w:szCs w:val="28"/>
        </w:rPr>
      </w:pPr>
      <w:r>
        <w:rPr>
          <w:rFonts w:ascii="方正黑体_GBK" w:hAnsi="方正黑体_GBK" w:eastAsia="方正黑体_GBK" w:cs="宋体"/>
          <w:sz w:val="20"/>
          <w:szCs w:val="24"/>
        </w:rPr>
        <w:t>管理人将在发生可能对本理财产品投资者或者理财产品收益产生重大影响的事件后2个工作日内披露重大事项公告。</w:t>
      </w:r>
    </w:p>
    <w:p w14:paraId="181D3A81">
      <w:pPr>
        <w:spacing w:line="240" w:lineRule="auto"/>
        <w:ind w:firstLine="300"/>
        <w:rPr>
          <w:sz w:val="28"/>
          <w:szCs w:val="28"/>
        </w:rPr>
      </w:pPr>
      <w:r>
        <w:rPr>
          <w:rFonts w:ascii="方正黑体_GBK" w:hAnsi="方正黑体_GBK" w:eastAsia="方正黑体_GBK" w:cs="宋体"/>
          <w:sz w:val="20"/>
          <w:szCs w:val="24"/>
        </w:rPr>
        <w:t>6.临时公告</w:t>
      </w:r>
    </w:p>
    <w:p w14:paraId="043B47C3">
      <w:pPr>
        <w:spacing w:line="240" w:lineRule="auto"/>
        <w:ind w:firstLine="300"/>
        <w:rPr>
          <w:sz w:val="28"/>
          <w:szCs w:val="28"/>
        </w:rPr>
      </w:pPr>
      <w:r>
        <w:rPr>
          <w:rFonts w:ascii="方正黑体_GBK" w:hAnsi="方正黑体_GBK" w:eastAsia="方正黑体_GBK" w:cs="宋体"/>
          <w:sz w:val="20"/>
          <w:szCs w:val="24"/>
        </w:rPr>
        <w:t>理财产品在运作管理过程中，发生可能对理财产品持有人权益产生影响的事项时，管理人将根据法律法规规定及时进行临时信息披露。</w:t>
      </w:r>
    </w:p>
    <w:p w14:paraId="7224EA63">
      <w:pPr>
        <w:spacing w:line="240" w:lineRule="auto"/>
        <w:ind w:firstLine="300"/>
        <w:rPr>
          <w:sz w:val="28"/>
          <w:szCs w:val="28"/>
        </w:rPr>
      </w:pPr>
      <w:r>
        <w:rPr>
          <w:rFonts w:ascii="方正黑体_GBK" w:hAnsi="方正黑体_GBK" w:eastAsia="方正黑体_GBK" w:cs="宋体"/>
          <w:sz w:val="20"/>
          <w:szCs w:val="24"/>
        </w:rPr>
        <w:t>7.关联交易信息披露</w:t>
      </w:r>
    </w:p>
    <w:p w14:paraId="793509CA">
      <w:pPr>
        <w:spacing w:line="240" w:lineRule="auto"/>
        <w:ind w:firstLine="300"/>
        <w:rPr>
          <w:sz w:val="28"/>
          <w:szCs w:val="28"/>
        </w:rPr>
      </w:pPr>
      <w:r>
        <w:rPr>
          <w:rFonts w:ascii="方正黑体_GBK" w:hAnsi="方正黑体_GBK" w:eastAsia="方正黑体_GBK" w:cs="宋体"/>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4081A432">
      <w:pPr>
        <w:spacing w:line="240" w:lineRule="auto"/>
        <w:ind w:firstLine="300"/>
        <w:rPr>
          <w:sz w:val="28"/>
          <w:szCs w:val="28"/>
        </w:rPr>
      </w:pPr>
      <w:r>
        <w:rPr>
          <w:rFonts w:ascii="方正黑体_GBK" w:hAnsi="方正黑体_GBK" w:eastAsia="方正黑体_GBK" w:cs="宋体"/>
          <w:sz w:val="20"/>
          <w:szCs w:val="24"/>
        </w:rPr>
        <w:t>8.账单</w:t>
      </w:r>
    </w:p>
    <w:p w14:paraId="71E82225">
      <w:pPr>
        <w:spacing w:line="240" w:lineRule="auto"/>
        <w:ind w:firstLine="300"/>
        <w:rPr>
          <w:sz w:val="28"/>
          <w:szCs w:val="28"/>
        </w:rPr>
      </w:pPr>
      <w:r>
        <w:rPr>
          <w:rFonts w:ascii="方正黑体_GBK" w:hAnsi="方正黑体_GBK" w:eastAsia="方正黑体_GBK" w:cs="宋体"/>
          <w:sz w:val="20"/>
          <w:szCs w:val="24"/>
        </w:rPr>
        <w:t>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77398E07">
      <w:pPr>
        <w:spacing w:line="240" w:lineRule="auto"/>
        <w:ind w:firstLine="300"/>
        <w:rPr>
          <w:sz w:val="28"/>
          <w:szCs w:val="28"/>
        </w:rPr>
      </w:pPr>
      <w:r>
        <w:rPr>
          <w:rFonts w:ascii="方正黑体_GBK" w:hAnsi="方正黑体_GBK" w:eastAsia="方正黑体_GBK" w:cs="宋体"/>
          <w:b/>
          <w:sz w:val="20"/>
          <w:szCs w:val="24"/>
        </w:rPr>
        <w:t>9.在本理财产品存续期内：</w:t>
      </w:r>
    </w:p>
    <w:p w14:paraId="1DC8DDA1">
      <w:pPr>
        <w:spacing w:line="240" w:lineRule="auto"/>
        <w:ind w:firstLine="300"/>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612AFEBC">
      <w:pPr>
        <w:spacing w:line="240" w:lineRule="auto"/>
        <w:ind w:firstLine="300"/>
        <w:rPr>
          <w:sz w:val="28"/>
          <w:szCs w:val="28"/>
        </w:rPr>
      </w:pPr>
      <w:r>
        <w:rPr>
          <w:rFonts w:ascii="方正黑体_GBK" w:hAnsi="方正黑体_GBK" w:eastAsia="方正黑体_GBK" w:cs="宋体"/>
          <w:sz w:val="20"/>
          <w:szCs w:val="24"/>
        </w:rPr>
        <w:t>10.其他公告</w:t>
      </w:r>
    </w:p>
    <w:p w14:paraId="078A370C">
      <w:pPr>
        <w:spacing w:line="240" w:lineRule="auto"/>
        <w:ind w:firstLine="300"/>
        <w:rPr>
          <w:sz w:val="28"/>
          <w:szCs w:val="28"/>
        </w:rPr>
      </w:pPr>
      <w:r>
        <w:rPr>
          <w:rFonts w:ascii="方正黑体_GBK" w:hAnsi="方正黑体_GBK" w:eastAsia="方正黑体_GBK" w:cs="宋体"/>
          <w:sz w:val="20"/>
          <w:szCs w:val="24"/>
        </w:rPr>
        <w:t>理财产品在运作管理过程中，管理人根据实际运作情况发布的其他公告。</w:t>
      </w:r>
    </w:p>
    <w:p w14:paraId="38005BC0">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1E475C8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10865F72">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47A4DB7D">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2165896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7BC7D288">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1A412CF7">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九</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24D8571A">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6E987792">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516B7580">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6C5A2C8B">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694E568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59B49066">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7EB2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2E463F0">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2E463F0">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AB156">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abstractNum w:abstractNumId="1">
    <w:nsid w:val="0053208E"/>
    <w:multiLevelType w:val="multilevel"/>
    <w:tmpl w:val="0053208E"/>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abstractNum w:abstractNumId="2">
    <w:nsid w:val="59ADCABA"/>
    <w:multiLevelType w:val="multilevel"/>
    <w:tmpl w:val="59ADCABA"/>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1FF83EFE"/>
    <w:rsid w:val="3BBE10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c6597c25"/>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82b60368"/>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25ae039a"/>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24d5fb15"/>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403d6b5b"/>
    <w:uiPriority w:val="0"/>
  </w:style>
  <w:style w:type="paragraph" w:customStyle="1" w:styleId="20">
    <w:name w:val="toc 1d7e70f7c"/>
    <w:basedOn w:val="15"/>
    <w:next w:val="1"/>
    <w:autoRedefine/>
    <w:qFormat/>
    <w:uiPriority w:val="0"/>
  </w:style>
  <w:style w:type="paragraph" w:customStyle="1" w:styleId="21">
    <w:name w:val="toc 2d0f1e78d"/>
    <w:basedOn w:val="15"/>
    <w:next w:val="1"/>
    <w:autoRedefine/>
    <w:qFormat/>
    <w:uiPriority w:val="0"/>
    <w:pPr>
      <w:ind w:left="420"/>
    </w:pPr>
  </w:style>
  <w:style w:type="paragraph" w:customStyle="1" w:styleId="22">
    <w:name w:val="toc 3ec627f99"/>
    <w:basedOn w:val="15"/>
    <w:next w:val="1"/>
    <w:autoRedefine/>
    <w:qFormat/>
    <w:uiPriority w:val="0"/>
    <w:pPr>
      <w:ind w:left="840"/>
    </w:pPr>
  </w:style>
  <w:style w:type="paragraph" w:customStyle="1" w:styleId="23">
    <w:name w:val="toc 4ef4e4388"/>
    <w:basedOn w:val="15"/>
    <w:next w:val="1"/>
    <w:autoRedefine/>
    <w:qFormat/>
    <w:uiPriority w:val="0"/>
    <w:pPr>
      <w:ind w:left="1260"/>
    </w:pPr>
  </w:style>
  <w:style w:type="paragraph" w:customStyle="1" w:styleId="24">
    <w:name w:val="toc 58fbb6964"/>
    <w:basedOn w:val="15"/>
    <w:next w:val="1"/>
    <w:autoRedefine/>
    <w:qFormat/>
    <w:uiPriority w:val="0"/>
    <w:pPr>
      <w:ind w:left="1680"/>
    </w:pPr>
  </w:style>
  <w:style w:type="paragraph" w:customStyle="1" w:styleId="25">
    <w:name w:val="headerd3926ced"/>
    <w:basedOn w:val="15"/>
    <w:qFormat/>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1dad967c"/>
    <w:basedOn w:val="15"/>
    <w:qFormat/>
    <w:uiPriority w:val="0"/>
    <w:pPr>
      <w:tabs>
        <w:tab w:val="center" w:pos="4153"/>
        <w:tab w:val="right" w:pos="8307"/>
      </w:tabs>
      <w:adjustRightInd/>
      <w:snapToGrid w:val="0"/>
      <w:contextualSpacing w:val="0"/>
      <w:jc w:val="left"/>
    </w:pPr>
    <w:rPr>
      <w:sz w:val="18"/>
    </w:rPr>
  </w:style>
  <w:style w:type="character" w:customStyle="1" w:styleId="27">
    <w:name w:val="Strongc949b63a"/>
    <w:qFormat/>
    <w:uiPriority w:val="0"/>
    <w:rPr>
      <w:b/>
    </w:rPr>
  </w:style>
  <w:style w:type="paragraph" w:customStyle="1" w:styleId="28">
    <w:name w:val="annotation text23"/>
    <w:next w:val="9"/>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613c94f9"/>
    <w:next w:val="9"/>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44a49249"/>
    <w:basedOn w:val="29"/>
    <w:next w:val="1"/>
    <w:qFormat/>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5e7b44e5"/>
    <w:basedOn w:val="29"/>
    <w:next w:val="1"/>
    <w:qFormat/>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6bc6b376"/>
    <w:basedOn w:val="29"/>
    <w:next w:val="1"/>
    <w:qFormat/>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58b0333c"/>
    <w:qFormat/>
    <w:uiPriority w:val="0"/>
  </w:style>
  <w:style w:type="paragraph" w:customStyle="1" w:styleId="34">
    <w:name w:val="Normal Indent95b739a7"/>
    <w:basedOn w:val="29"/>
    <w:qFormat/>
    <w:uiPriority w:val="0"/>
    <w:pPr>
      <w:ind w:firstLine="200" w:firstLineChars="200"/>
    </w:pPr>
  </w:style>
  <w:style w:type="paragraph" w:customStyle="1" w:styleId="35">
    <w:name w:val="toc 5c4d4db65"/>
    <w:basedOn w:val="29"/>
    <w:next w:val="1"/>
    <w:qFormat/>
    <w:uiPriority w:val="0"/>
    <w:pPr>
      <w:ind w:left="1680"/>
    </w:pPr>
  </w:style>
  <w:style w:type="paragraph" w:customStyle="1" w:styleId="36">
    <w:name w:val="toc 3c6f99f28"/>
    <w:basedOn w:val="29"/>
    <w:next w:val="1"/>
    <w:qFormat/>
    <w:uiPriority w:val="0"/>
    <w:pPr>
      <w:ind w:left="840"/>
    </w:pPr>
  </w:style>
  <w:style w:type="paragraph" w:customStyle="1" w:styleId="37">
    <w:name w:val="footerc1f06c39"/>
    <w:basedOn w:val="29"/>
    <w:qFormat/>
    <w:uiPriority w:val="0"/>
    <w:pPr>
      <w:tabs>
        <w:tab w:val="center" w:pos="4153"/>
        <w:tab w:val="right" w:pos="8307"/>
      </w:tabs>
      <w:adjustRightInd/>
      <w:snapToGrid w:val="0"/>
      <w:contextualSpacing w:val="0"/>
      <w:jc w:val="left"/>
    </w:pPr>
    <w:rPr>
      <w:sz w:val="18"/>
    </w:rPr>
  </w:style>
  <w:style w:type="paragraph" w:customStyle="1" w:styleId="38">
    <w:name w:val="header805d21f9"/>
    <w:basedOn w:val="29"/>
    <w:qFormat/>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0c873a11"/>
    <w:basedOn w:val="29"/>
    <w:next w:val="1"/>
    <w:qFormat/>
    <w:uiPriority w:val="0"/>
  </w:style>
  <w:style w:type="paragraph" w:customStyle="1" w:styleId="40">
    <w:name w:val="toc 49073a309"/>
    <w:basedOn w:val="29"/>
    <w:next w:val="1"/>
    <w:qFormat/>
    <w:uiPriority w:val="0"/>
    <w:pPr>
      <w:ind w:left="1260"/>
    </w:pPr>
  </w:style>
  <w:style w:type="paragraph" w:customStyle="1" w:styleId="41">
    <w:name w:val="toc 2f133093d"/>
    <w:basedOn w:val="29"/>
    <w:next w:val="1"/>
    <w:qFormat/>
    <w:uiPriority w:val="0"/>
    <w:pPr>
      <w:ind w:left="420"/>
    </w:pPr>
  </w:style>
  <w:style w:type="paragraph" w:customStyle="1" w:styleId="42">
    <w:name w:val="Normal (Web)68d2e488"/>
    <w:next w:val="8"/>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ef6195f5ef6195f5"/>
    <w:next w:val="9"/>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82a7111782a71117"/>
    <w:basedOn w:val="44"/>
    <w:next w:val="1"/>
    <w:qFormat/>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7dba9e707dba9e70"/>
    <w:basedOn w:val="44"/>
    <w:next w:val="1"/>
    <w:qFormat/>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34161f7434161f74"/>
    <w:basedOn w:val="44"/>
    <w:next w:val="1"/>
    <w:qFormat/>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8370ffda8370ffda"/>
    <w:qFormat/>
    <w:uiPriority w:val="0"/>
  </w:style>
  <w:style w:type="paragraph" w:customStyle="1" w:styleId="49">
    <w:name w:val="引文目录1ace22056ace22056"/>
    <w:basedOn w:val="44"/>
    <w:next w:val="1"/>
    <w:qFormat/>
    <w:uiPriority w:val="0"/>
    <w:pPr>
      <w:ind w:left="200" w:leftChars="200"/>
    </w:pPr>
  </w:style>
  <w:style w:type="paragraph" w:customStyle="1" w:styleId="50">
    <w:name w:val="toc 5cc057348cc057348"/>
    <w:basedOn w:val="44"/>
    <w:next w:val="1"/>
    <w:qFormat/>
    <w:uiPriority w:val="0"/>
    <w:pPr>
      <w:ind w:left="1680"/>
    </w:pPr>
  </w:style>
  <w:style w:type="paragraph" w:customStyle="1" w:styleId="51">
    <w:name w:val="toc 3404c5bb7404c5bb7"/>
    <w:basedOn w:val="44"/>
    <w:next w:val="1"/>
    <w:qFormat/>
    <w:uiPriority w:val="0"/>
    <w:pPr>
      <w:ind w:left="840"/>
    </w:pPr>
  </w:style>
  <w:style w:type="paragraph" w:customStyle="1" w:styleId="52">
    <w:name w:val="footer748fe6bc748fe6bc"/>
    <w:basedOn w:val="44"/>
    <w:qFormat/>
    <w:uiPriority w:val="0"/>
    <w:pPr>
      <w:tabs>
        <w:tab w:val="center" w:pos="4153"/>
        <w:tab w:val="right" w:pos="8307"/>
      </w:tabs>
      <w:adjustRightInd/>
      <w:snapToGrid w:val="0"/>
      <w:contextualSpacing w:val="0"/>
      <w:jc w:val="left"/>
    </w:pPr>
    <w:rPr>
      <w:sz w:val="18"/>
    </w:rPr>
  </w:style>
  <w:style w:type="paragraph" w:customStyle="1" w:styleId="53">
    <w:name w:val="headerd7fbbda9d7fbbda9"/>
    <w:basedOn w:val="44"/>
    <w:qFormat/>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d0a8c70ed0a8c70e"/>
    <w:basedOn w:val="44"/>
    <w:next w:val="1"/>
    <w:qFormat/>
    <w:uiPriority w:val="0"/>
  </w:style>
  <w:style w:type="paragraph" w:customStyle="1" w:styleId="55">
    <w:name w:val="toc 45bcba96f5bcba96f"/>
    <w:basedOn w:val="44"/>
    <w:next w:val="1"/>
    <w:qFormat/>
    <w:uiPriority w:val="0"/>
    <w:pPr>
      <w:ind w:left="1260"/>
    </w:pPr>
  </w:style>
  <w:style w:type="paragraph" w:customStyle="1" w:styleId="56">
    <w:name w:val="toc 28d8dd16f8d8dd16f"/>
    <w:basedOn w:val="44"/>
    <w:next w:val="1"/>
    <w:qFormat/>
    <w:uiPriority w:val="0"/>
    <w:pPr>
      <w:ind w:left="420"/>
    </w:pPr>
  </w:style>
  <w:style w:type="paragraph" w:customStyle="1" w:styleId="57">
    <w:name w:val="列出段落1e0eea2b5e0eea2b5"/>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34</Pages>
  <Words>23019</Words>
  <Characters>23800</Characters>
  <Lines>107</Lines>
  <Paragraphs>48</Paragraphs>
  <TotalTime>45</TotalTime>
  <ScaleCrop>false</ScaleCrop>
  <LinksUpToDate>false</LinksUpToDate>
  <CharactersWithSpaces>23964</CharactersWithSpaces>
  <Application>WPS Office_12.1.28492.28492_F1E327BC-269C-435d-A152-05C5408002CA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2026-09-12T15:41:16Z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2052-12.1.28492.28492</vt:lpwstr>
  </property>
  <property fmtid="{D5CDD505-2E9C-101B-9397-08002B2CF9AE}" pid="3" name="ICV">
    <vt:lpwstr>02AEF6DED8204361AEB85E71A6BDE641</vt:lpwstr>
  </property>
  <property fmtid="{D5CDD505-2E9C-101B-9397-08002B2CF9AE}" pid="4" name="KSOTemplateDocerSaveRecord">
    <vt:lpwstr>eyJoZGlkIjoiNjVmNDU2Mzc1YmQzMTIyMWRmNzFlZThjMjMxMWQ2ODAiLCJ1c2VySWQiOiI3NTE0NTU2MDUifQ==</vt:lpwstr>
  </property>
</Properties>
</file>