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07216">
      <w:pPr>
        <w:spacing w:line="240" w:lineRule="auto"/>
        <w:jc w:val="center"/>
        <w:rPr>
          <w:rFonts w:ascii="方正黑体_GBK" w:hAnsi="方正黑体_GBK" w:eastAsia="方正黑体_GBK"/>
          <w:b/>
          <w:bCs/>
          <w:vanish w:val="0"/>
          <w:kern w:val="0"/>
          <w:sz w:val="36"/>
          <w:szCs w:val="20"/>
        </w:rPr>
      </w:pPr>
      <w:r>
        <w:rPr>
          <w:rFonts w:hint="eastAsia" w:ascii="方正黑体_GBK" w:hAnsi="方正黑体_GBK" w:eastAsia="方正黑体_GBK"/>
          <w:b/>
          <w:bCs/>
          <w:vanish w:val="0"/>
          <w:kern w:val="0"/>
          <w:sz w:val="36"/>
          <w:szCs w:val="20"/>
        </w:rPr>
        <w:t>特别提示页</w:t>
      </w:r>
    </w:p>
    <w:p w14:paraId="0EBE0F6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★关于理财产品与存款产品的提示</w:t>
      </w:r>
    </w:p>
    <w:p w14:paraId="7067DB0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理财产品与存款存在明显区别，理财非存款、产品有风险、投资须谨慎。</w:t>
      </w:r>
    </w:p>
    <w:p w14:paraId="1BC589C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★关于理财产品的过往业绩的提示</w:t>
      </w:r>
    </w:p>
    <w:p w14:paraId="51DED8D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vanish w:val="0"/>
          <w:kern w:val="0"/>
          <w:sz w:val="20"/>
          <w:szCs w:val="20"/>
        </w:rPr>
        <w:t>理财产品过往业绩不代表其未来表现，不等于理财产品实际受益，投资须谨慎。</w:t>
      </w:r>
    </w:p>
    <w:p w14:paraId="2B363F5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★关于理财产品的业绩比较基准和业绩报酬计提基准的提示</w:t>
      </w:r>
    </w:p>
    <w:p w14:paraId="40BE879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本产品的业绩比较基准或业绩报酬计提基准等类似表述不代表投资者可能获得的实际收益，亦不构成产品管理人对本产品的任何收益承诺，仅供投资者进行投资决定时参考。</w:t>
      </w:r>
    </w:p>
    <w:p w14:paraId="65B3AAD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★关于理财产品不保证本金和收益的提示</w:t>
      </w:r>
    </w:p>
    <w:p w14:paraId="0BE3941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14:paraId="3120DBC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★关于销售文件的组成和编制的提示</w:t>
      </w:r>
    </w:p>
    <w:p w14:paraId="18B428E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理财产品投资协议书》、《理财产品说明书》、《理财产品风险揭示书》、《理财产品销售协议书》（具体名称及内容以销售机构为准，下同）、《投资者权益须知》（具体名称及内容以销售机构为准，下同）等文件共同构成一份完整且不可分割的理财产品销售文件。</w:t>
      </w:r>
    </w:p>
    <w:p w14:paraId="24B823D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★关于投资者适当性的提示</w:t>
      </w:r>
    </w:p>
    <w:p w14:paraId="52899E0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14:paraId="5CBC9E4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★关于投资者信息的提示</w:t>
      </w:r>
    </w:p>
    <w:p w14:paraId="1FF0DAF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投资者在此同意并授权，产品管理人可根据监管要求和合同约定，为理财产品登记、反洗钱工作等需要，向登记部门或监管机构及相关方提供投资者身份信息、持仓信息等相关信息。</w:t>
      </w:r>
    </w:p>
    <w:p w14:paraId="0C93BD2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★关于理财产品信息披露的提示</w:t>
      </w:r>
    </w:p>
    <w:p w14:paraId="5936802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在购买本产品后，投资者应随时关注该理财产品的信息披露情况，及时获取相关信息。</w:t>
      </w:r>
    </w:p>
    <w:p w14:paraId="34956A7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★关于理财产品咨询的提示</w:t>
      </w:r>
    </w:p>
    <w:p w14:paraId="712399B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投资者对本理财产品及销售文件的内容有任何疑问，请向产品管理人或销售机构咨询。</w:t>
      </w:r>
    </w:p>
    <w:p w14:paraId="0A98347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★关于65周岁以上投资者购买的提示</w:t>
      </w:r>
    </w:p>
    <w:p w14:paraId="66E05D55">
      <w:pPr>
        <w:keepNext w:val="0"/>
        <w:keepLines w:val="0"/>
        <w:pageBreakBefore w:val="0"/>
        <w:widowControl/>
        <w:suppressLineNumbers w:val="0"/>
        <w:suppressAutoHyphens w:val="0"/>
        <w:spacing w:line="240" w:lineRule="auto"/>
        <w:ind w:firstLine="400" w:firstLineChars="200"/>
        <w:jc w:val="left"/>
        <w:rPr>
          <w:rFonts w:ascii="方正黑体_GBK" w:hAnsi="方正黑体_GBK" w:eastAsia="方正黑体_GBK"/>
          <w:b/>
          <w:bCs/>
          <w:vanish w:val="0"/>
          <w:kern w:val="0"/>
          <w:sz w:val="36"/>
          <w:szCs w:val="36"/>
        </w:rPr>
      </w:pPr>
      <w:r>
        <w:rPr>
          <w:rFonts w:hint="eastAsia" w:ascii="方正黑体_GBK" w:hAnsi="方正黑体_GBK" w:eastAsia="方正黑体_GBK"/>
          <w:vanish w:val="0"/>
          <w:kern w:val="0"/>
          <w:sz w:val="20"/>
          <w:szCs w:val="20"/>
        </w:rPr>
        <w:t>风险等级为（中）高级的理财产品，请65周岁以上的投资者谨慎购买，产品风险情况详见风险揭示书。</w:t>
      </w:r>
      <w:r>
        <w:rPr>
          <w:rFonts w:ascii="方正黑体_GBK" w:hAnsi="方正黑体_GBK" w:eastAsia="方正黑体_GBK"/>
          <w:b/>
          <w:bCs/>
          <w:sz w:val="36"/>
          <w:szCs w:val="20"/>
          <w:lang w:val="en-US" w:eastAsia="zh-CN"/>
        </w:rPr>
        <w:br w:type="page"/>
      </w:r>
      <w:bookmarkStart w:id="0" w:name="_GoBack"/>
      <w:bookmarkEnd w:id="0"/>
    </w:p>
    <w:p w14:paraId="51F649B9">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731BA8FA">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22AAD75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color w:val="3D3D3D"/>
          <w:sz w:val="18"/>
          <w:szCs w:val="18"/>
          <w:lang w:val="en-US" w:eastAsia="zh-CN"/>
        </w:rPr>
        <w:t>（具体名称及内容以销售机构为准，下同）《投资者权益须知》（具体名称及内容以销售机构为准，下同）</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3A4B418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77E8382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03AE691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4C28551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2C75A09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70FE349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72A262A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4A6BE5E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3B915AD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34A8D50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3CB39B6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1C92EF7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403FF6C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723EEB0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29151F6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281595E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0E62A7B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3209D43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335CC5E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271D459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77AC00B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06D4F8C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18C0115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2DD5EC12">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color w:val="3D3D3D"/>
          <w:kern w:val="0"/>
          <w:sz w:val="18"/>
          <w:szCs w:val="18"/>
        </w:rPr>
        <w:t>（十八）关联交易风险：在合法合规且履行应履行的内、外部程序后，理财产品可能投资于管理人或托管机构的主要股东、实际控制人、一致行动人、最终受益人，托管机构，同一股东或托管机构控股的机构，或者与管理人或托管机构有重大利害关系的机构发行或承销的证券，或者从事其他关联交易；本理财产品也可能通过管理人的关联方进行托管或销售，本理财产品的销售机构及托管机构以说明书披露为准。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74FF901E">
      <w:pPr>
        <w:pStyle w:val="15"/>
        <w:keepNext w:val="0"/>
        <w:keepLines w:val="0"/>
        <w:pageBreakBefore w:val="0"/>
        <w:widowControl/>
        <w:suppressLineNumbers w:val="0"/>
        <w:suppressAutoHyphens w:val="0"/>
        <w:spacing w:line="240" w:lineRule="auto"/>
        <w:ind w:firstLine="260"/>
        <w:rPr>
          <w:rFonts w:hint="eastAsia" w:ascii="方正黑体_GBK" w:hAnsi="方正黑体_GBK" w:eastAsia="方正黑体_GBK"/>
          <w:color w:val="3D3D3D"/>
          <w:sz w:val="18"/>
          <w:szCs w:val="18"/>
        </w:rPr>
      </w:pPr>
      <w:r>
        <w:rPr>
          <w:rFonts w:hint="eastAsia" w:ascii="方正黑体_GBK" w:hAnsi="方正黑体_GBK" w:eastAsia="方正黑体_GBK"/>
          <w:color w:val="3D3D3D"/>
          <w:sz w:val="18"/>
          <w:szCs w:val="18"/>
        </w:rPr>
        <w:t>第二条 本理财产品特定风险揭示</w:t>
      </w:r>
    </w:p>
    <w:p w14:paraId="0E360237">
      <w:pPr>
        <w:spacing w:line="240" w:lineRule="auto"/>
        <w:rPr>
          <w:sz w:val="28"/>
          <w:szCs w:val="28"/>
        </w:rPr>
      </w:pPr>
      <w:r>
        <w:rPr>
          <w:rFonts w:ascii="方正黑体_GBK" w:hAnsi="方正黑体_GBK" w:eastAsia="方正黑体_GBK" w:cs="宋体"/>
          <w:b/>
          <w:sz w:val="18"/>
          <w:szCs w:val="24"/>
        </w:rPr>
        <w:t xml:space="preserve">    1.债券类资产投资风险</w:t>
      </w:r>
    </w:p>
    <w:p w14:paraId="790194D3">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7AB74E94">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006E40AF">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28147C61">
      <w:pPr>
        <w:spacing w:line="240" w:lineRule="auto"/>
        <w:rPr>
          <w:sz w:val="28"/>
          <w:szCs w:val="28"/>
        </w:rPr>
      </w:pPr>
      <w:r>
        <w:rPr>
          <w:rFonts w:ascii="方正黑体_GBK" w:hAnsi="方正黑体_GBK" w:eastAsia="方正黑体_GBK" w:cs="宋体"/>
          <w:b/>
          <w:sz w:val="18"/>
          <w:szCs w:val="24"/>
        </w:rPr>
        <w:t xml:space="preserve">    3.资产管理产品投资风险</w:t>
      </w:r>
    </w:p>
    <w:p w14:paraId="5E5ACDBF">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215793CB">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4F970091">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3227861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6"/>
        </w:rPr>
      </w:pPr>
      <w:r>
        <w:rPr>
          <w:rFonts w:hint="eastAsia" w:ascii="方正黑体_GBK" w:hAnsi="方正黑体_GBK" w:eastAsia="方正黑体_GBK"/>
          <w:b/>
          <w:bCs/>
          <w:vanish w:val="0"/>
          <w:color w:val="3D3D3D"/>
          <w:kern w:val="0"/>
          <w:sz w:val="18"/>
          <w:szCs w:val="16"/>
        </w:rPr>
        <w:t>第三条</w:t>
      </w:r>
      <w:r>
        <w:rPr>
          <w:rFonts w:ascii="方正黑体_GBK" w:hAnsi="方正黑体_GBK" w:eastAsia="方正黑体_GBK"/>
          <w:b/>
          <w:bCs/>
          <w:vanish w:val="0"/>
          <w:color w:val="3D3D3D"/>
          <w:kern w:val="0"/>
          <w:sz w:val="18"/>
          <w:szCs w:val="16"/>
        </w:rPr>
        <w:t xml:space="preserve"> </w:t>
      </w:r>
      <w:r>
        <w:rPr>
          <w:rFonts w:hint="eastAsia" w:ascii="方正黑体_GBK" w:hAnsi="方正黑体_GBK" w:eastAsia="方正黑体_GBK"/>
          <w:b/>
          <w:bCs/>
          <w:vanish w:val="0"/>
          <w:color w:val="3D3D3D"/>
          <w:kern w:val="0"/>
          <w:sz w:val="18"/>
          <w:szCs w:val="16"/>
        </w:rPr>
        <w:t>本理财产品风险管理措施</w:t>
      </w:r>
    </w:p>
    <w:p w14:paraId="14580E9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6"/>
        </w:rPr>
      </w:pPr>
      <w:r>
        <w:rPr>
          <w:rFonts w:hint="eastAsia" w:ascii="方正黑体_GBK" w:hAnsi="方正黑体_GBK" w:eastAsia="方正黑体_GBK"/>
          <w:b/>
          <w:bCs/>
          <w:vanish w:val="0"/>
          <w:color w:val="3D3D3D"/>
          <w:kern w:val="0"/>
          <w:sz w:val="18"/>
          <w:szCs w:val="16"/>
        </w:rPr>
        <w:t>管理人将本着“诚实信用、勤勉尽责”的原则，依据法律法规及产品销售文件约定，对理财产品设立、投资、运作及终止的全过程实施全面风险管理。管理人已建立覆盖风险识别、评估、监测、预警、处置等环节的全面风险管理体系，综合运用投资分散化、准入管理、限额管理、集中度管控、压力测试、合规审查、关联交易公允性管理、业务流程及信息系统控制等手段，对产品可能面临的政策风险、信用风险、市场风险、流动性风险、交易对手风险、利率风险、汇率风险、通货膨胀风险、抵质押物变现风险、理财产品不成立风险、延期分配风险、提前终止风险、信息传递风险、不可抗力及以外事件风险等各类风险（如有）进行管控。</w:t>
      </w:r>
    </w:p>
    <w:p w14:paraId="5307C40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6"/>
        </w:rPr>
      </w:pPr>
      <w:r>
        <w:rPr>
          <w:rFonts w:hint="eastAsia" w:ascii="方正黑体_GBK" w:hAnsi="方正黑体_GBK" w:eastAsia="方正黑体_GBK"/>
          <w:b/>
          <w:bCs/>
          <w:vanish w:val="0"/>
          <w:color w:val="3D3D3D"/>
          <w:kern w:val="0"/>
          <w:sz w:val="18"/>
          <w:szCs w:val="16"/>
        </w:rPr>
        <w:t>管理人上述风险管控措施为管理人基于正常市场环境及合理预期而设，不构成管理人对理财产品风险的完全消除或对理财产品本金安全和理财产品收益的任何承诺与保证。理财产品在实际运作中仍可能因市场、政策、操作、不可抗力等各类因素而遭受超出管理人风险控制措施覆盖范围的风险事件，从而导致理财产品净值波动乃至本金损失。</w:t>
      </w:r>
    </w:p>
    <w:p w14:paraId="10994E20">
      <w:pPr>
        <w:pStyle w:val="15"/>
        <w:spacing w:line="240" w:lineRule="auto"/>
        <w:ind w:firstLine="360" w:firstLineChars="200"/>
        <w:rPr>
          <w:rFonts w:hint="eastAsia" w:ascii="方正黑体_GBK" w:hAnsi="方正黑体_GBK" w:eastAsia="方正黑体_GBK"/>
          <w:b/>
          <w:sz w:val="18"/>
          <w:szCs w:val="18"/>
        </w:rPr>
      </w:pPr>
      <w:r>
        <w:rPr>
          <w:rFonts w:hint="eastAsia" w:ascii="方正黑体_GBK" w:hAnsi="方正黑体_GBK" w:eastAsia="方正黑体_GBK" w:cs="Times New Roman"/>
          <w:b/>
          <w:bCs/>
          <w:color w:val="3D3D3D"/>
          <w:sz w:val="18"/>
          <w:szCs w:val="16"/>
          <w:lang w:val="en-US" w:eastAsia="zh-CN"/>
        </w:rPr>
        <w:t>投资者在投资本理财产品前，应审慎阅读并理解本理财产品风险揭示书、产品说明书等全部法律文件，充分认识投资本理财产品所涉风险及其不确定性，结合自身风险承受能力独立做出投资判断，并自行承担相应的投资风险。</w:t>
      </w:r>
    </w:p>
    <w:p w14:paraId="50D19BA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790C881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399天</w:t>
      </w:r>
      <w:r>
        <w:rPr>
          <w:rFonts w:hint="eastAsia" w:ascii="方正黑体_GBK" w:hAnsi="方正黑体_GBK" w:eastAsia="方正黑体_GBK"/>
          <w:b/>
          <w:bCs w:val="0"/>
          <w:vanish w:val="0"/>
          <w:color w:val="3D3D3D"/>
          <w:kern w:val="0"/>
          <w:sz w:val="18"/>
          <w:szCs w:val="18"/>
        </w:rPr>
        <w:t>。</w:t>
      </w:r>
    </w:p>
    <w:p w14:paraId="369655B9">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5FE35FEB">
      <w:pPr>
        <w:pStyle w:val="28"/>
        <w:pBdr>
          <w:top w:val="none" w:color="auto" w:sz="0" w:space="0"/>
          <w:left w:val="none" w:color="auto" w:sz="0" w:space="0"/>
          <w:bottom w:val="none" w:color="auto" w:sz="0" w:space="0"/>
          <w:right w:val="none" w:color="auto" w:sz="0" w:space="0"/>
        </w:pBdr>
        <w:spacing w:line="240" w:lineRule="auto"/>
        <w:ind w:firstLine="360" w:firstLineChars="200"/>
        <w:rPr>
          <w:rFonts w:ascii="方正黑体_GBK" w:hAnsi="方正黑体_GBK" w:eastAsia="方正黑体_GBK"/>
          <w:b/>
          <w:bCs/>
          <w:vanish w:val="0"/>
          <w:color w:val="3D3D3D"/>
          <w:sz w:val="18"/>
          <w:szCs w:val="16"/>
        </w:rPr>
      </w:pPr>
      <w:r>
        <w:rPr>
          <w:rFonts w:ascii="方正黑体_GBK" w:hAnsi="方正黑体_GBK" w:eastAsia="方正黑体_GBK" w:cs="Times New Roman"/>
          <w:b/>
          <w:bCs/>
          <w:vanish w:val="0"/>
          <w:color w:val="3D3D3D"/>
          <w:sz w:val="18"/>
          <w:szCs w:val="16"/>
        </w:rPr>
        <w:t>产品存续期内，管理人可能根据市场变化对产品风险等级进行动态评估和调整，并及时告知销售机构和投资者。</w:t>
      </w:r>
    </w:p>
    <w:p w14:paraId="649E61CA">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103695B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2B63C6B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普通投资者在首次通过销售机构购买理财产品时应根据销售机构的要求进行风险承受能力评估。如影响您风险承受能力的因素发生变化，请及时完成风险承受能力评估。</w:t>
      </w:r>
    </w:p>
    <w:p w14:paraId="0064F98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vanish w:val="0"/>
          <w:sz w:val="18"/>
          <w:szCs w:val="18"/>
        </w:rPr>
      </w:pPr>
      <w:r>
        <w:rPr>
          <w:rFonts w:hint="eastAsia" w:ascii="方正黑体_GBK" w:hAnsi="方正黑体_GBK" w:eastAsia="方正黑体_GBK"/>
          <w:b/>
          <w:bCs/>
          <w:vanish w:val="0"/>
          <w:color w:val="3D3D3D"/>
          <w:kern w:val="0"/>
          <w:sz w:val="18"/>
          <w:szCs w:val="18"/>
        </w:rPr>
        <w:t>最不利投资情形下的投资结果：若投资者认购或申购本理财产品，最不利情况下，投资组合内所有资产均发生以上所述的风险事件，且投资组合内所有资产均发生全额损失，则投资者赎回或到期收到款项为0，即投资者面临全部本金的损失。为保证当期理财投资者权益而产生的费用由当期理财产品承担。</w:t>
      </w:r>
    </w:p>
    <w:p w14:paraId="3E68B9E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hint="eastAsia"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color w:val="3D3D3D"/>
          <w:sz w:val="18"/>
          <w:szCs w:val="18"/>
          <w:lang w:val="en-US" w:eastAsia="zh-CN"/>
        </w:rPr>
        <w:t>示例：如投资者购买本理财产品，本金为</w:t>
      </w:r>
      <w:r>
        <w:rPr>
          <w:rFonts w:hint="eastAsia" w:ascii="方正黑体_GBK" w:hAnsi="方正黑体_GBK" w:eastAsia="方正黑体_GBK"/>
          <w:b/>
          <w:bCs/>
          <w:color w:val="3D3D3D"/>
          <w:sz w:val="18"/>
          <w:szCs w:val="18"/>
          <w:lang w:val="en-US" w:eastAsia="zh-CN"/>
        </w:rPr>
        <w:t>10</w:t>
      </w:r>
      <w:r>
        <w:rPr>
          <w:rFonts w:hint="eastAsia" w:ascii="方正黑体_GBK" w:hAnsi="方正黑体_GBK" w:eastAsia="方正黑体_GBK" w:cs="Times New Roman"/>
          <w:b/>
          <w:bCs/>
          <w:color w:val="3D3D3D"/>
          <w:sz w:val="18"/>
          <w:szCs w:val="18"/>
          <w:lang w:val="en-US" w:eastAsia="zh-CN"/>
        </w:rPr>
        <w:t>万元，在理财产品资产组合项下资产全部亏损的最不利情况下，理财产品</w:t>
      </w:r>
      <w:r>
        <w:rPr>
          <w:rFonts w:hint="eastAsia" w:ascii="方正黑体_GBK" w:hAnsi="方正黑体_GBK" w:eastAsia="方正黑体_GBK"/>
          <w:b/>
          <w:bCs/>
          <w:color w:val="3D3D3D"/>
          <w:sz w:val="18"/>
          <w:szCs w:val="18"/>
          <w:lang w:val="en-US" w:eastAsia="zh-CN"/>
        </w:rPr>
        <w:t>10</w:t>
      </w:r>
      <w:r>
        <w:rPr>
          <w:rFonts w:hint="eastAsia" w:ascii="方正黑体_GBK" w:hAnsi="方正黑体_GBK" w:eastAsia="方正黑体_GBK" w:cs="Times New Roman"/>
          <w:b/>
          <w:bCs/>
          <w:color w:val="3D3D3D"/>
          <w:sz w:val="18"/>
          <w:szCs w:val="18"/>
          <w:lang w:val="en-US" w:eastAsia="zh-CN"/>
        </w:rPr>
        <w:t>万元本金将全部损失。</w:t>
      </w:r>
    </w:p>
    <w:p w14:paraId="1F7D471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3E72027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2F10302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1DABA770">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68DA000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409B336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w:t>
      </w:r>
      <w:r>
        <w:rPr>
          <w:rFonts w:hint="eastAsia" w:ascii="方正黑体_GBK" w:hAnsi="方正黑体_GBK" w:eastAsia="方正黑体_GBK" w:cs="Times New Roman"/>
          <w:b/>
          <w:bCs w:val="0"/>
          <w:color w:val="3D3D3D"/>
          <w:sz w:val="20"/>
          <w:szCs w:val="20"/>
          <w:u w:val="single"/>
          <w:lang w:val="en-US" w:eastAsia="zh-CN"/>
        </w:rPr>
        <w:t>投资者</w:t>
      </w:r>
      <w:r>
        <w:rPr>
          <w:rFonts w:hint="eastAsia" w:ascii="方正黑体_GBK" w:hAnsi="方正黑体_GBK" w:eastAsia="方正黑体_GBK" w:cs="Times New Roman"/>
          <w:b/>
          <w:bCs w:val="0"/>
          <w:vanish w:val="0"/>
          <w:color w:val="3D3D3D"/>
          <w:kern w:val="0"/>
          <w:sz w:val="20"/>
          <w:szCs w:val="20"/>
          <w:u w:val="single"/>
        </w:rPr>
        <w:t>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3927FC2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5BD90B80">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5AD57B50">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p>
    <w:p w14:paraId="3D351ED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354D24D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7BED2819">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21B13EDD">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32BD483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7E423EF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02AEA6F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495E4A9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047BA8D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08EB553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6C3F2507">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286D1CC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5A035402">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20742D0C">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07F4BE9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7872C90F">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6527805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5D2A310A">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2F4614C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3CA84C9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7362C3A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2AA7BDE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587B2A4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1B77382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3606D2A8">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00B95EE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78B51966">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3F48B28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1A5A9C35">
      <w:pPr>
        <w:spacing w:line="240" w:lineRule="auto"/>
        <w:rPr>
          <w:sz w:val="28"/>
          <w:szCs w:val="28"/>
        </w:rPr>
      </w:pPr>
      <w:r>
        <w:rPr>
          <w:rFonts w:ascii="方正黑体_GBK" w:hAnsi="方正黑体_GBK" w:eastAsia="方正黑体_GBK"/>
          <w:sz w:val="28"/>
          <w:szCs w:val="28"/>
        </w:rPr>
        <w:br w:type="page"/>
      </w:r>
    </w:p>
    <w:p w14:paraId="1604A2A6">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7DFAC5D2">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49DECA6E">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697BBAC1">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768483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047DC6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南银理财珠联璧合鑫逸稳一年301期封闭式公募人民币理财产品</w:t>
            </w:r>
          </w:p>
        </w:tc>
      </w:tr>
      <w:tr w14:paraId="19CEEC6C">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0F79D7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42255CB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035FEBDF">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33B267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6FBEAB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74B705C2">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5AF2E6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139E26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ZZ700322600313</w:t>
            </w:r>
          </w:p>
        </w:tc>
      </w:tr>
      <w:tr w14:paraId="140451F2">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702E5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03ACF2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Z7003226000277(投资者可依据该编码在中国理财网www.chinawealth.com.cn查询理财产品相关信息）</w:t>
            </w:r>
          </w:p>
        </w:tc>
      </w:tr>
      <w:tr w14:paraId="2EB9418C">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58839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3CFBCC8D">
            <w:pPr>
              <w:spacing w:line="240" w:lineRule="auto"/>
              <w:rPr>
                <w:sz w:val="28"/>
                <w:szCs w:val="28"/>
              </w:rPr>
            </w:pPr>
            <w:r>
              <w:rPr>
                <w:rFonts w:ascii="方正黑体_GBK" w:hAnsi="方正黑体_GBK" w:eastAsia="方正黑体_GBK" w:cs="宋体"/>
                <w:sz w:val="22"/>
                <w:szCs w:val="22"/>
              </w:rPr>
              <w:t>A份额：NYXY001988</w:t>
            </w:r>
          </w:p>
          <w:p w14:paraId="7EE825F2">
            <w:pPr>
              <w:spacing w:line="240" w:lineRule="auto"/>
              <w:rPr>
                <w:sz w:val="28"/>
                <w:szCs w:val="28"/>
              </w:rPr>
            </w:pPr>
            <w:r>
              <w:rPr>
                <w:rFonts w:ascii="方正黑体_GBK" w:hAnsi="方正黑体_GBK" w:eastAsia="方正黑体_GBK" w:cs="宋体"/>
                <w:sz w:val="22"/>
                <w:szCs w:val="22"/>
              </w:rPr>
              <w:t>B份额：NYXY001989</w:t>
            </w:r>
          </w:p>
          <w:p w14:paraId="4A726DA6">
            <w:pPr>
              <w:spacing w:line="240" w:lineRule="auto"/>
              <w:rPr>
                <w:sz w:val="28"/>
                <w:szCs w:val="28"/>
              </w:rPr>
            </w:pPr>
            <w:r>
              <w:rPr>
                <w:rFonts w:ascii="方正黑体_GBK" w:hAnsi="方正黑体_GBK" w:eastAsia="方正黑体_GBK" w:cs="宋体"/>
                <w:sz w:val="22"/>
                <w:szCs w:val="22"/>
              </w:rPr>
              <w:t>C份额：NYXY001990</w:t>
            </w:r>
          </w:p>
          <w:p w14:paraId="797E2D6B">
            <w:pPr>
              <w:spacing w:line="240" w:lineRule="auto"/>
              <w:rPr>
                <w:sz w:val="28"/>
                <w:szCs w:val="28"/>
              </w:rPr>
            </w:pPr>
            <w:r>
              <w:rPr>
                <w:rFonts w:ascii="方正黑体_GBK" w:hAnsi="方正黑体_GBK" w:eastAsia="方正黑体_GBK" w:cs="宋体"/>
                <w:sz w:val="22"/>
                <w:szCs w:val="22"/>
              </w:rPr>
              <w:t>F份额：NYXY002114</w:t>
            </w:r>
          </w:p>
          <w:p w14:paraId="4DCBF8B3">
            <w:pPr>
              <w:spacing w:line="240" w:lineRule="auto"/>
              <w:rPr>
                <w:sz w:val="28"/>
                <w:szCs w:val="28"/>
              </w:rPr>
            </w:pPr>
            <w:r>
              <w:rPr>
                <w:rFonts w:ascii="方正黑体_GBK" w:hAnsi="方正黑体_GBK" w:eastAsia="方正黑体_GBK" w:cs="宋体"/>
                <w:sz w:val="22"/>
                <w:szCs w:val="22"/>
              </w:rPr>
              <w:t>L份额：NYXY001991</w:t>
            </w:r>
          </w:p>
          <w:p w14:paraId="1E75FFD0">
            <w:pPr>
              <w:spacing w:line="240" w:lineRule="auto"/>
              <w:rPr>
                <w:sz w:val="28"/>
                <w:szCs w:val="28"/>
              </w:rPr>
            </w:pPr>
            <w:r>
              <w:rPr>
                <w:rFonts w:ascii="方正黑体_GBK" w:hAnsi="方正黑体_GBK" w:eastAsia="方正黑体_GBK" w:cs="宋体"/>
                <w:sz w:val="22"/>
                <w:szCs w:val="22"/>
              </w:rPr>
              <w:t>M份额：NYXY002115</w:t>
            </w:r>
          </w:p>
          <w:p w14:paraId="0208E5DE">
            <w:pPr>
              <w:spacing w:line="240" w:lineRule="auto"/>
              <w:rPr>
                <w:sz w:val="28"/>
                <w:szCs w:val="28"/>
              </w:rPr>
            </w:pPr>
            <w:r>
              <w:rPr>
                <w:rFonts w:ascii="方正黑体_GBK" w:hAnsi="方正黑体_GBK" w:eastAsia="方正黑体_GBK" w:cs="宋体"/>
                <w:sz w:val="22"/>
                <w:szCs w:val="22"/>
              </w:rPr>
              <w:t>N份额：NYXY002116</w:t>
            </w:r>
          </w:p>
          <w:p w14:paraId="397D57E5">
            <w:pPr>
              <w:spacing w:line="240" w:lineRule="auto"/>
              <w:rPr>
                <w:sz w:val="28"/>
                <w:szCs w:val="28"/>
              </w:rPr>
            </w:pPr>
            <w:r>
              <w:rPr>
                <w:rFonts w:ascii="方正黑体_GBK" w:hAnsi="方正黑体_GBK" w:eastAsia="方正黑体_GBK" w:cs="宋体"/>
                <w:sz w:val="22"/>
                <w:szCs w:val="22"/>
              </w:rPr>
              <w:t>A2份额：NYXY002117</w:t>
            </w:r>
          </w:p>
          <w:p w14:paraId="346E533E">
            <w:pPr>
              <w:spacing w:line="240" w:lineRule="auto"/>
              <w:rPr>
                <w:sz w:val="28"/>
                <w:szCs w:val="28"/>
              </w:rPr>
            </w:pPr>
            <w:r>
              <w:rPr>
                <w:rFonts w:ascii="方正黑体_GBK" w:hAnsi="方正黑体_GBK" w:eastAsia="方正黑体_GBK" w:cs="宋体"/>
                <w:sz w:val="22"/>
                <w:szCs w:val="22"/>
              </w:rPr>
              <w:t>F2份额：NYXY002118</w:t>
            </w:r>
          </w:p>
          <w:p w14:paraId="37D5EA1B">
            <w:pPr>
              <w:spacing w:line="240" w:lineRule="auto"/>
              <w:rPr>
                <w:sz w:val="28"/>
                <w:szCs w:val="28"/>
              </w:rPr>
            </w:pPr>
            <w:r>
              <w:rPr>
                <w:rFonts w:ascii="方正黑体_GBK" w:hAnsi="方正黑体_GBK" w:eastAsia="方正黑体_GBK" w:cs="宋体"/>
                <w:sz w:val="22"/>
                <w:szCs w:val="22"/>
              </w:rPr>
              <w:t>G2份额：NYXY002119</w:t>
            </w:r>
          </w:p>
          <w:p w14:paraId="426F769B">
            <w:pPr>
              <w:spacing w:line="240" w:lineRule="auto"/>
              <w:rPr>
                <w:sz w:val="28"/>
                <w:szCs w:val="28"/>
              </w:rPr>
            </w:pPr>
            <w:r>
              <w:rPr>
                <w:rFonts w:ascii="方正黑体_GBK" w:hAnsi="方正黑体_GBK" w:eastAsia="方正黑体_GBK" w:cs="宋体"/>
                <w:sz w:val="22"/>
                <w:szCs w:val="22"/>
              </w:rPr>
              <w:t>I2份额：NYXY002120</w:t>
            </w:r>
          </w:p>
          <w:p w14:paraId="0AAD436D">
            <w:pPr>
              <w:spacing w:line="240" w:lineRule="auto"/>
              <w:rPr>
                <w:sz w:val="28"/>
                <w:szCs w:val="28"/>
              </w:rPr>
            </w:pPr>
            <w:r>
              <w:rPr>
                <w:rFonts w:ascii="方正黑体_GBK" w:hAnsi="方正黑体_GBK" w:eastAsia="方正黑体_GBK" w:cs="宋体"/>
                <w:sz w:val="22"/>
                <w:szCs w:val="22"/>
              </w:rPr>
              <w:t>J2份额：NYXY002121</w:t>
            </w:r>
          </w:p>
          <w:p w14:paraId="162E1695">
            <w:pPr>
              <w:spacing w:line="240" w:lineRule="auto"/>
              <w:rPr>
                <w:sz w:val="28"/>
                <w:szCs w:val="28"/>
              </w:rPr>
            </w:pPr>
            <w:r>
              <w:rPr>
                <w:rFonts w:ascii="方正黑体_GBK" w:hAnsi="方正黑体_GBK" w:eastAsia="方正黑体_GBK" w:cs="宋体"/>
                <w:sz w:val="22"/>
                <w:szCs w:val="22"/>
              </w:rPr>
              <w:t>K2份额：NYXY002122</w:t>
            </w:r>
          </w:p>
          <w:p w14:paraId="16F1B36C">
            <w:pPr>
              <w:spacing w:line="240" w:lineRule="auto"/>
              <w:rPr>
                <w:sz w:val="28"/>
                <w:szCs w:val="28"/>
              </w:rPr>
            </w:pPr>
            <w:r>
              <w:rPr>
                <w:rFonts w:ascii="方正黑体_GBK" w:hAnsi="方正黑体_GBK" w:eastAsia="方正黑体_GBK" w:cs="宋体"/>
                <w:sz w:val="22"/>
                <w:szCs w:val="22"/>
              </w:rPr>
              <w:t>L2份额：NYXY002123</w:t>
            </w:r>
          </w:p>
          <w:p w14:paraId="2C20E34F">
            <w:pPr>
              <w:spacing w:line="240" w:lineRule="auto"/>
              <w:rPr>
                <w:sz w:val="28"/>
                <w:szCs w:val="28"/>
              </w:rPr>
            </w:pPr>
            <w:r>
              <w:rPr>
                <w:rFonts w:ascii="方正黑体_GBK" w:hAnsi="方正黑体_GBK" w:eastAsia="方正黑体_GBK" w:cs="宋体"/>
                <w:sz w:val="22"/>
                <w:szCs w:val="22"/>
              </w:rPr>
              <w:t>M2份额：NYXY002131</w:t>
            </w:r>
          </w:p>
          <w:p w14:paraId="2AD5CEDF">
            <w:pPr>
              <w:spacing w:line="240" w:lineRule="auto"/>
              <w:rPr>
                <w:sz w:val="28"/>
                <w:szCs w:val="28"/>
              </w:rPr>
            </w:pPr>
            <w:r>
              <w:rPr>
                <w:rFonts w:ascii="方正黑体_GBK" w:hAnsi="方正黑体_GBK" w:eastAsia="方正黑体_GBK" w:cs="宋体"/>
                <w:sz w:val="22"/>
                <w:szCs w:val="22"/>
              </w:rPr>
              <w:t>Q份额：NYXY001993</w:t>
            </w:r>
          </w:p>
          <w:p w14:paraId="585586F1">
            <w:pPr>
              <w:spacing w:line="240" w:lineRule="auto"/>
              <w:rPr>
                <w:sz w:val="28"/>
                <w:szCs w:val="28"/>
              </w:rPr>
            </w:pPr>
            <w:r>
              <w:rPr>
                <w:rFonts w:ascii="方正黑体_GBK" w:hAnsi="方正黑体_GBK" w:eastAsia="方正黑体_GBK" w:cs="宋体"/>
                <w:sz w:val="22"/>
                <w:szCs w:val="22"/>
              </w:rPr>
              <w:t>Q1份额：NYXY001994</w:t>
            </w:r>
          </w:p>
          <w:p w14:paraId="23ED9375">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75D0311A">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11D35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1383AD22">
            <w:pPr>
              <w:spacing w:line="240" w:lineRule="auto"/>
              <w:rPr>
                <w:sz w:val="28"/>
                <w:szCs w:val="28"/>
              </w:rPr>
            </w:pPr>
            <w:r>
              <w:rPr>
                <w:rFonts w:ascii="方正黑体_GBK" w:hAnsi="方正黑体_GBK" w:eastAsia="方正黑体_GBK" w:cs="宋体"/>
                <w:sz w:val="22"/>
                <w:szCs w:val="22"/>
              </w:rPr>
              <w:t>全国</w:t>
            </w:r>
          </w:p>
        </w:tc>
      </w:tr>
      <w:tr w14:paraId="1035117F">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6456A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66A877CB">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44C803D5">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64A07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79A42623">
            <w:pPr>
              <w:spacing w:line="240" w:lineRule="auto"/>
              <w:rPr>
                <w:sz w:val="28"/>
                <w:szCs w:val="28"/>
              </w:rPr>
            </w:pPr>
            <w:r>
              <w:rPr>
                <w:rFonts w:ascii="方正黑体_GBK" w:hAnsi="方正黑体_GBK" w:eastAsia="方正黑体_GBK" w:cs="宋体"/>
                <w:sz w:val="22"/>
                <w:szCs w:val="22"/>
              </w:rPr>
              <w:t>本理财产品规模上限为150亿元。</w:t>
            </w:r>
          </w:p>
        </w:tc>
      </w:tr>
      <w:tr w14:paraId="59FCBF91">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7BEB1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4B8D1C8F">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56417299">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69759206">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C8E14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0FEFBF62">
            <w:pPr>
              <w:spacing w:line="240" w:lineRule="auto"/>
              <w:jc w:val="left"/>
              <w:rPr>
                <w:sz w:val="28"/>
                <w:szCs w:val="28"/>
              </w:rPr>
            </w:pPr>
            <w:r>
              <w:rPr>
                <w:rFonts w:ascii="方正黑体_GBK" w:hAnsi="方正黑体_GBK" w:eastAsia="方正黑体_GBK" w:cs="宋体"/>
                <w:sz w:val="22"/>
                <w:szCs w:val="22"/>
              </w:rPr>
              <w:t>符合相关法律法规、监管规定要求的，经销售机构的风险承受能力评估体系评定为适合的个人和机构投资者。</w:t>
            </w:r>
          </w:p>
          <w:p w14:paraId="2B8720F2">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5w、代发、对公客户、拥军优属客户以外的其他客户）、北京农村商业银行股份有限公司、青岛银行股份有限公司（除私行客户外的其他客户）、江苏张家港农村商业银行股份有限公司、嘉兴银行股份有限公司（除私行客户外的其他客户）、江苏常熟农村商业银行股份有限公司、金华银行股份有限公司、长沙银行股份有限公司、郑州银行股份有限公司、广州农村商业银行股份有限公司、苏州银行股份有限公司、福建海峡银行股份有限公司、齐鲁银行股份有限公司（除白金/私行客户、财富客户外的其他客户）、北京银行股份有限公司、天津农村商业银行股份有限公司(除企业拓展客户、个人新客、私行客户和私钻客户外的其他客户)、德州银行股份有限公司、云南红塔银行股份有限公司、宁夏银行股份有限公司（1元起购）、九江银行股份有限公司、湖北银行股份有限公司、海南银行股份有限公司、廊坊银行股份有限公司、上海农村商业银行股份有限公司、富邦华一银行有限公司、湖州银行股份有限公司、海南农村商业银行股份有限公司、石嘴山银行股份有限公司、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盐城农村商业银行股份有限公司（除代发客户外的其他客户）、江苏建湖农村商业银行股份有限公司、江苏东台农村商业银行股份有限公司、江苏溧水农村商业银行股份有限公司、江苏南通农村商业银行股份有限公司（除代发和机构客户外的其他客户）、江苏扬州农村商业银行股份有限公司、江苏淮安农村商业银行股份有限公司（除财富客户外的其他客户）、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1元起购）、江苏仪征农村商业银行股份有限公司（1元起购）、江苏沭阳农村商业银行股份有限公司、连云港东方农村商业银行股份有限公司、江苏灌云农村商业银行股份有限公司。</w:t>
            </w:r>
          </w:p>
          <w:p w14:paraId="3F7C5444">
            <w:pPr>
              <w:spacing w:line="240" w:lineRule="auto"/>
              <w:rPr>
                <w:sz w:val="28"/>
                <w:szCs w:val="28"/>
              </w:rPr>
            </w:pPr>
            <w:r>
              <w:rPr>
                <w:rFonts w:ascii="方正黑体_GBK" w:hAnsi="方正黑体_GBK" w:eastAsia="方正黑体_GBK" w:cs="宋体"/>
                <w:sz w:val="22"/>
                <w:szCs w:val="22"/>
              </w:rPr>
              <w:t>B份额：南京银行股份有限公司(新客或新资金5万或代发客户)、青岛银行股份有限公司(私行客户)、徽商银行股份有限公司(除代发客户外的其他客户)、齐商银行股份有限公司、嘉兴银行股份有限公司（私行客户）、广州银行股份有限公司、秦皇岛银行股份有限公司、宁波东海银行股份有限公司、齐鲁银行股份有限公司(白金/私行客户)、天津农村商业银行股份有限公司(企业拓展客户)、山西银行股份有限公司（除新客户外的其他客户）、东营银行股份有限公司、海南农村商业银行股份有限公司、宁波通商银行股份有限公司（除新客户外的其他客户）、江苏高淳农村商业银行股份有限公司、江苏新沂农村商业银行股份有限公司（1元起购）、江苏南通农村商业银行股份有限公司(代发客户)、江苏江都农村商业银行股份有限公司、江苏淮安农村商业银行股份有限公司(财富客户)、江苏大丰农村商业银行股份有限公司、江苏镇江农村商业银行股份有限公司( 20万元起购)、徐州农村商业银行股份有限公司(财富客户)、江苏紫金农村商业银行股份有限公司、江苏沛县农村商业银行股份有限公司（除财富客户外的其他客户）、江苏仪征农村商业银行股份有限公司( 20万元起购)、江苏泰州农村商业银行股份有限公司。</w:t>
            </w:r>
          </w:p>
          <w:p w14:paraId="3EEDF9CE">
            <w:pPr>
              <w:spacing w:line="240" w:lineRule="auto"/>
              <w:rPr>
                <w:sz w:val="28"/>
                <w:szCs w:val="28"/>
              </w:rPr>
            </w:pPr>
            <w:r>
              <w:rPr>
                <w:rFonts w:ascii="方正黑体_GBK" w:hAnsi="方正黑体_GBK" w:eastAsia="方正黑体_GBK" w:cs="宋体"/>
                <w:sz w:val="22"/>
                <w:szCs w:val="22"/>
              </w:rPr>
              <w:t>C份额：南京银行股份有限公司(对公客户)、烟台银行股份有限公司、日照银行股份有限公司（除私行客户外的其他客户）、齐鲁银行股份有限公司(财富客户)、天津农村商业银行股份有限公司(个人新客)、山西银行股份有限公司（新客户）、江苏泰兴农村商业银行股份有限公司、江苏响水农村商业银行股份有限公司(50万元起购)、江苏靖江农村商业银行股份有限公司、江苏新沂农村商业银行股份有限公司（30万元起购）、江苏盐城农村商业银行股份有限公司（代发客户）、江苏南通农村商业银行股份有限公司(机构客户)、江苏兴化农村商业银行股份有限公司（除人民医院职工外的其他客户）、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(10万元起购)、江苏沛县农村商业银行股份有限公司（财富客户）、枣庄银行股份有限公司。</w:t>
            </w:r>
          </w:p>
          <w:p w14:paraId="38C29343">
            <w:pPr>
              <w:spacing w:line="240" w:lineRule="auto"/>
              <w:rPr>
                <w:sz w:val="28"/>
                <w:szCs w:val="28"/>
              </w:rPr>
            </w:pPr>
            <w:r>
              <w:rPr>
                <w:rFonts w:ascii="方正黑体_GBK" w:hAnsi="方正黑体_GBK" w:eastAsia="方正黑体_GBK" w:cs="宋体"/>
                <w:sz w:val="22"/>
                <w:szCs w:val="22"/>
              </w:rPr>
              <w:t>F份额：兴业银行股份有限公司。</w:t>
            </w:r>
          </w:p>
          <w:p w14:paraId="247ECA70">
            <w:pPr>
              <w:spacing w:line="240" w:lineRule="auto"/>
              <w:rPr>
                <w:sz w:val="28"/>
                <w:szCs w:val="28"/>
              </w:rPr>
            </w:pPr>
            <w:r>
              <w:rPr>
                <w:rFonts w:ascii="方正黑体_GBK" w:hAnsi="方正黑体_GBK" w:eastAsia="方正黑体_GBK" w:cs="宋体"/>
                <w:sz w:val="22"/>
                <w:szCs w:val="22"/>
              </w:rPr>
              <w:t>L份额：日照银行股份有限公司（私行客户）、潍坊银行股份有限公司、泰安银行股份有限公司、天津农村商业银行股份有限公司(私钻客户)、宁波通商银行股份有限公司（新客户）、江苏兴化农村商业银行股份有限公司(人民医院职工客户)。</w:t>
            </w:r>
          </w:p>
          <w:p w14:paraId="7B23D87A">
            <w:pPr>
              <w:spacing w:line="240" w:lineRule="auto"/>
              <w:rPr>
                <w:sz w:val="28"/>
                <w:szCs w:val="28"/>
              </w:rPr>
            </w:pPr>
            <w:r>
              <w:rPr>
                <w:rFonts w:ascii="方正黑体_GBK" w:hAnsi="方正黑体_GBK" w:eastAsia="方正黑体_GBK" w:cs="宋体"/>
                <w:sz w:val="22"/>
                <w:szCs w:val="22"/>
              </w:rPr>
              <w:t>M份额：蒙商银行股份有限公司（除代发工资客户外的其他客户）。</w:t>
            </w:r>
          </w:p>
          <w:p w14:paraId="1EFECC93">
            <w:pPr>
              <w:spacing w:line="240" w:lineRule="auto"/>
              <w:rPr>
                <w:sz w:val="28"/>
                <w:szCs w:val="28"/>
              </w:rPr>
            </w:pPr>
            <w:r>
              <w:rPr>
                <w:rFonts w:ascii="方正黑体_GBK" w:hAnsi="方正黑体_GBK" w:eastAsia="方正黑体_GBK" w:cs="宋体"/>
                <w:sz w:val="22"/>
                <w:szCs w:val="22"/>
              </w:rPr>
              <w:t>N份额：蒙商银行股份有限公司（代发工资客户）。</w:t>
            </w:r>
          </w:p>
          <w:p w14:paraId="1827BC7A">
            <w:pPr>
              <w:spacing w:line="240" w:lineRule="auto"/>
              <w:rPr>
                <w:sz w:val="28"/>
                <w:szCs w:val="28"/>
              </w:rPr>
            </w:pPr>
            <w:r>
              <w:rPr>
                <w:rFonts w:ascii="方正黑体_GBK" w:hAnsi="方正黑体_GBK" w:eastAsia="方正黑体_GBK" w:cs="宋体"/>
                <w:sz w:val="22"/>
                <w:szCs w:val="22"/>
              </w:rPr>
              <w:t>A2份额：朝阳银行股份有限公司。</w:t>
            </w:r>
          </w:p>
          <w:p w14:paraId="755F62B2">
            <w:pPr>
              <w:spacing w:line="240" w:lineRule="auto"/>
              <w:rPr>
                <w:sz w:val="28"/>
                <w:szCs w:val="28"/>
              </w:rPr>
            </w:pPr>
            <w:r>
              <w:rPr>
                <w:rFonts w:ascii="方正黑体_GBK" w:hAnsi="方正黑体_GBK" w:eastAsia="方正黑体_GBK" w:cs="宋体"/>
                <w:sz w:val="22"/>
                <w:szCs w:val="22"/>
              </w:rPr>
              <w:t>F2份额：温州银行股份有限公司。</w:t>
            </w:r>
          </w:p>
          <w:p w14:paraId="417EECF3">
            <w:pPr>
              <w:spacing w:line="240" w:lineRule="auto"/>
              <w:rPr>
                <w:sz w:val="28"/>
                <w:szCs w:val="28"/>
              </w:rPr>
            </w:pPr>
            <w:r>
              <w:rPr>
                <w:rFonts w:ascii="方正黑体_GBK" w:hAnsi="方正黑体_GBK" w:eastAsia="方正黑体_GBK" w:cs="宋体"/>
                <w:sz w:val="22"/>
                <w:szCs w:val="22"/>
              </w:rPr>
              <w:t>G2份额：宁夏银行股份有限公司（20万元起购）。</w:t>
            </w:r>
          </w:p>
          <w:p w14:paraId="625E1852">
            <w:pPr>
              <w:spacing w:line="240" w:lineRule="auto"/>
              <w:rPr>
                <w:sz w:val="28"/>
                <w:szCs w:val="28"/>
              </w:rPr>
            </w:pPr>
            <w:r>
              <w:rPr>
                <w:rFonts w:ascii="方正黑体_GBK" w:hAnsi="方正黑体_GBK" w:eastAsia="方正黑体_GBK" w:cs="宋体"/>
                <w:sz w:val="22"/>
                <w:szCs w:val="22"/>
              </w:rPr>
              <w:t>I2份额：南京银行股份有限公司(拥军优属客户)。</w:t>
            </w:r>
          </w:p>
          <w:p w14:paraId="0E5F6DFF">
            <w:pPr>
              <w:spacing w:line="240" w:lineRule="auto"/>
              <w:rPr>
                <w:sz w:val="28"/>
                <w:szCs w:val="28"/>
              </w:rPr>
            </w:pPr>
            <w:r>
              <w:rPr>
                <w:rFonts w:ascii="方正黑体_GBK" w:hAnsi="方正黑体_GBK" w:eastAsia="方正黑体_GBK" w:cs="宋体"/>
                <w:sz w:val="22"/>
                <w:szCs w:val="22"/>
              </w:rPr>
              <w:t>J2份额：吉林银行股份有限公司（新客户）。</w:t>
            </w:r>
          </w:p>
          <w:p w14:paraId="278E80C3">
            <w:pPr>
              <w:spacing w:line="240" w:lineRule="auto"/>
              <w:rPr>
                <w:sz w:val="28"/>
                <w:szCs w:val="28"/>
              </w:rPr>
            </w:pPr>
            <w:r>
              <w:rPr>
                <w:rFonts w:ascii="方正黑体_GBK" w:hAnsi="方正黑体_GBK" w:eastAsia="方正黑体_GBK" w:cs="宋体"/>
                <w:sz w:val="22"/>
                <w:szCs w:val="22"/>
              </w:rPr>
              <w:t>K2份额：吉林银行股份有限公司（除新客户外的其他客户）。</w:t>
            </w:r>
          </w:p>
          <w:p w14:paraId="49C2B254">
            <w:pPr>
              <w:spacing w:line="240" w:lineRule="auto"/>
              <w:rPr>
                <w:sz w:val="28"/>
                <w:szCs w:val="28"/>
              </w:rPr>
            </w:pPr>
            <w:r>
              <w:rPr>
                <w:rFonts w:ascii="方正黑体_GBK" w:hAnsi="方正黑体_GBK" w:eastAsia="方正黑体_GBK" w:cs="宋体"/>
                <w:sz w:val="22"/>
                <w:szCs w:val="22"/>
              </w:rPr>
              <w:t>L2份额：成都银行股份有限公司。</w:t>
            </w:r>
          </w:p>
          <w:p w14:paraId="01A24AC8">
            <w:pPr>
              <w:spacing w:line="240" w:lineRule="auto"/>
              <w:rPr>
                <w:sz w:val="28"/>
                <w:szCs w:val="28"/>
              </w:rPr>
            </w:pPr>
            <w:r>
              <w:rPr>
                <w:rFonts w:ascii="方正黑体_GBK" w:hAnsi="方正黑体_GBK" w:eastAsia="方正黑体_GBK" w:cs="宋体"/>
                <w:sz w:val="22"/>
                <w:szCs w:val="22"/>
              </w:rPr>
              <w:t>M2份额：兰州银行股份有限公司（教师节客户）。</w:t>
            </w:r>
          </w:p>
          <w:p w14:paraId="51C05B5E">
            <w:pPr>
              <w:spacing w:line="240" w:lineRule="auto"/>
              <w:rPr>
                <w:sz w:val="28"/>
                <w:szCs w:val="28"/>
              </w:rPr>
            </w:pPr>
            <w:r>
              <w:rPr>
                <w:rFonts w:ascii="方正黑体_GBK" w:hAnsi="方正黑体_GBK" w:eastAsia="方正黑体_GBK" w:cs="宋体"/>
                <w:sz w:val="22"/>
                <w:szCs w:val="22"/>
              </w:rPr>
              <w:t>Q份额：天津农村商业银行股份有限公司(私行客户)、无锡农村商业银行股份有限公司。</w:t>
            </w:r>
          </w:p>
          <w:p w14:paraId="4D602B10">
            <w:pPr>
              <w:spacing w:line="240" w:lineRule="auto"/>
              <w:rPr>
                <w:sz w:val="28"/>
                <w:szCs w:val="28"/>
              </w:rPr>
            </w:pPr>
            <w:r>
              <w:rPr>
                <w:rFonts w:ascii="方正黑体_GBK" w:hAnsi="方正黑体_GBK" w:eastAsia="方正黑体_GBK" w:cs="宋体"/>
                <w:sz w:val="22"/>
                <w:szCs w:val="22"/>
              </w:rPr>
              <w:t>Q1份额：徽商银行股份有限公司（代发客户）。</w:t>
            </w:r>
          </w:p>
          <w:p w14:paraId="58830F3D">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35E92608">
            <w:pPr>
              <w:spacing w:line="240" w:lineRule="auto"/>
              <w:rPr>
                <w:sz w:val="28"/>
                <w:szCs w:val="28"/>
              </w:rPr>
            </w:pPr>
            <w:r>
              <w:rPr>
                <w:rFonts w:ascii="方正黑体_GBK" w:hAnsi="方正黑体_GBK" w:eastAsia="方正黑体_GBK" w:cs="宋体"/>
                <w:b/>
                <w:sz w:val="22"/>
                <w:szCs w:val="22"/>
              </w:rPr>
              <w:t xml:space="preserve">南京银行股份有限公司（新客或新资金5万或代发客户）：新客是指2026年理财年日均余额为0的客户。新资金（5万）是指金融资产余额较上月月日均增长5万元及以上的客户。代发是指近90天内有过代发记录的客户（不含跨行代发、批量兑付、批量付息）。  </w:t>
            </w:r>
          </w:p>
        </w:tc>
      </w:tr>
      <w:tr w14:paraId="1A1DB569">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75FCE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44CA1E46">
            <w:pPr>
              <w:spacing w:line="240" w:lineRule="auto"/>
              <w:rPr>
                <w:sz w:val="28"/>
                <w:szCs w:val="28"/>
              </w:rPr>
            </w:pPr>
            <w:r>
              <w:rPr>
                <w:rFonts w:ascii="方正黑体_GBK" w:hAnsi="方正黑体_GBK" w:eastAsia="方正黑体_GBK" w:cs="宋体"/>
                <w:sz w:val="22"/>
                <w:szCs w:val="22"/>
              </w:rPr>
              <w:t>A份额/B份额/C份额/F份额/L份额/M份额/N份额/A2份额/F2份额/I2份额/K2份额/L2份额/M2份额/Q份额/Q1份额：</w:t>
            </w:r>
          </w:p>
          <w:p w14:paraId="0F010E07">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3D090D13">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p w14:paraId="0CAFEFA8">
            <w:pPr>
              <w:spacing w:line="240" w:lineRule="auto"/>
              <w:rPr>
                <w:sz w:val="28"/>
                <w:szCs w:val="28"/>
              </w:rPr>
            </w:pPr>
            <w:r>
              <w:rPr>
                <w:rFonts w:ascii="方正黑体_GBK" w:hAnsi="方正黑体_GBK" w:eastAsia="方正黑体_GBK" w:cs="宋体"/>
                <w:sz w:val="22"/>
                <w:szCs w:val="22"/>
              </w:rPr>
              <w:t>G2份额：</w:t>
            </w:r>
          </w:p>
          <w:p w14:paraId="07535A5B">
            <w:pPr>
              <w:spacing w:line="240" w:lineRule="auto"/>
              <w:rPr>
                <w:sz w:val="28"/>
                <w:szCs w:val="28"/>
              </w:rPr>
            </w:pPr>
            <w:r>
              <w:rPr>
                <w:rFonts w:ascii="方正黑体_GBK" w:hAnsi="方正黑体_GBK" w:eastAsia="方正黑体_GBK" w:cs="宋体"/>
                <w:sz w:val="22"/>
                <w:szCs w:val="22"/>
              </w:rPr>
              <w:t>个人投资者投资起点金额20万元人民币，以1元的整数倍递增；</w:t>
            </w:r>
          </w:p>
          <w:p w14:paraId="7563A5C5">
            <w:pPr>
              <w:spacing w:line="240" w:lineRule="auto"/>
              <w:rPr>
                <w:sz w:val="28"/>
                <w:szCs w:val="28"/>
              </w:rPr>
            </w:pPr>
            <w:r>
              <w:rPr>
                <w:rFonts w:ascii="方正黑体_GBK" w:hAnsi="方正黑体_GBK" w:eastAsia="方正黑体_GBK" w:cs="宋体"/>
                <w:sz w:val="22"/>
                <w:szCs w:val="22"/>
              </w:rPr>
              <w:t>机构投资者投资起点金额20万元人民币，以1元的整数倍递增；</w:t>
            </w:r>
          </w:p>
          <w:p w14:paraId="54336F34">
            <w:pPr>
              <w:spacing w:line="240" w:lineRule="auto"/>
              <w:rPr>
                <w:sz w:val="28"/>
                <w:szCs w:val="28"/>
              </w:rPr>
            </w:pPr>
            <w:r>
              <w:rPr>
                <w:rFonts w:ascii="方正黑体_GBK" w:hAnsi="方正黑体_GBK" w:eastAsia="方正黑体_GBK" w:cs="宋体"/>
                <w:sz w:val="22"/>
                <w:szCs w:val="22"/>
              </w:rPr>
              <w:t>J2份额：</w:t>
            </w:r>
          </w:p>
          <w:p w14:paraId="4310959E">
            <w:pPr>
              <w:spacing w:line="240" w:lineRule="auto"/>
              <w:rPr>
                <w:sz w:val="28"/>
                <w:szCs w:val="28"/>
              </w:rPr>
            </w:pPr>
            <w:r>
              <w:rPr>
                <w:rFonts w:ascii="方正黑体_GBK" w:hAnsi="方正黑体_GBK" w:eastAsia="方正黑体_GBK" w:cs="宋体"/>
                <w:sz w:val="22"/>
                <w:szCs w:val="22"/>
              </w:rPr>
              <w:t>个人投资者投资起点金额1万元人民币，以1元的整数倍递增；</w:t>
            </w:r>
          </w:p>
          <w:p w14:paraId="4F2546D5">
            <w:pPr>
              <w:spacing w:line="240" w:lineRule="auto"/>
              <w:rPr>
                <w:sz w:val="28"/>
                <w:szCs w:val="28"/>
              </w:rPr>
            </w:pPr>
            <w:r>
              <w:rPr>
                <w:rFonts w:ascii="方正黑体_GBK" w:hAnsi="方正黑体_GBK" w:eastAsia="方正黑体_GBK" w:cs="宋体"/>
                <w:sz w:val="22"/>
                <w:szCs w:val="22"/>
              </w:rPr>
              <w:t>机构投资者投资起点金额1万元人民币，以1元的整数倍递增；</w:t>
            </w:r>
          </w:p>
        </w:tc>
      </w:tr>
      <w:tr w14:paraId="6077C076">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BF896F8">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34542B7B">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4CF5BE40">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2369C02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E0657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20607C63">
            <w:pPr>
              <w:spacing w:line="240" w:lineRule="auto"/>
              <w:jc w:val="left"/>
              <w:rPr>
                <w:sz w:val="28"/>
                <w:szCs w:val="28"/>
              </w:rPr>
            </w:pPr>
            <w:r>
              <w:rPr>
                <w:rFonts w:ascii="方正黑体_GBK" w:hAnsi="方正黑体_GBK" w:eastAsia="方正黑体_GBK" w:cs="宋体"/>
                <w:color w:val="000000"/>
                <w:sz w:val="22"/>
                <w:szCs w:val="22"/>
              </w:rPr>
              <w:t>2026年09月09日 09:00—2026年09月15日 17:00</w:t>
            </w:r>
          </w:p>
        </w:tc>
      </w:tr>
      <w:tr w14:paraId="6E4699FB">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C54791F">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15882EC8">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693AEA2B">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2C3E94B">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0526E473">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5EB6E7A6">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04E16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175485A1">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2026年09月16日</w:t>
            </w:r>
          </w:p>
        </w:tc>
      </w:tr>
      <w:tr w14:paraId="75340189">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67849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58312EC0">
            <w:pPr>
              <w:spacing w:line="240" w:lineRule="auto"/>
              <w:rPr>
                <w:sz w:val="28"/>
                <w:szCs w:val="28"/>
              </w:rPr>
            </w:pPr>
            <w:r>
              <w:rPr>
                <w:rFonts w:ascii="方正黑体_GBK" w:hAnsi="方正黑体_GBK" w:eastAsia="方正黑体_GBK" w:cs="宋体"/>
                <w:sz w:val="22"/>
                <w:szCs w:val="22"/>
              </w:rPr>
              <w:t>2026年09月16日—实际到期日（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399天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46E9B78C">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BC106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1AC9B0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2027年10月20日</w:t>
            </w:r>
          </w:p>
        </w:tc>
      </w:tr>
      <w:tr w14:paraId="030620A7">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A1E8522">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01A2CE98">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5FC15177">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B99D7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1AA44965">
            <w:pPr>
              <w:spacing w:line="240" w:lineRule="auto"/>
              <w:rPr>
                <w:sz w:val="28"/>
                <w:szCs w:val="28"/>
              </w:rPr>
            </w:pPr>
            <w:r>
              <w:rPr>
                <w:rFonts w:ascii="方正黑体_GBK" w:hAnsi="方正黑体_GBK" w:eastAsia="方正黑体_GBK" w:cs="宋体"/>
                <w:sz w:val="22"/>
                <w:szCs w:val="22"/>
              </w:rPr>
              <w:t>（一）收益的构成</w:t>
            </w:r>
          </w:p>
          <w:p w14:paraId="385C6B24">
            <w:pPr>
              <w:spacing w:line="240" w:lineRule="auto"/>
              <w:rPr>
                <w:sz w:val="28"/>
                <w:szCs w:val="28"/>
              </w:rPr>
            </w:pPr>
            <w:r>
              <w:rPr>
                <w:rFonts w:ascii="方正黑体_GBK" w:hAnsi="方正黑体_GBK" w:eastAsia="方正黑体_GBK" w:cs="宋体"/>
                <w:sz w:val="22"/>
                <w:szCs w:val="22"/>
              </w:rPr>
              <w:t>理财产品收益包括产品投资收益、利息收入、公允价值变动收益和其他收入并扣除相关费用后的余额。</w:t>
            </w:r>
          </w:p>
          <w:p w14:paraId="4ABE6694">
            <w:pPr>
              <w:spacing w:line="240" w:lineRule="auto"/>
              <w:rPr>
                <w:sz w:val="28"/>
                <w:szCs w:val="28"/>
              </w:rPr>
            </w:pPr>
            <w:r>
              <w:rPr>
                <w:rFonts w:ascii="方正黑体_GBK" w:hAnsi="方正黑体_GBK" w:eastAsia="方正黑体_GBK" w:cs="宋体"/>
                <w:sz w:val="22"/>
                <w:szCs w:val="22"/>
              </w:rPr>
              <w:t>（二）收益分配原则</w:t>
            </w:r>
          </w:p>
          <w:p w14:paraId="63F59323">
            <w:pPr>
              <w:spacing w:line="240" w:lineRule="auto"/>
              <w:rPr>
                <w:sz w:val="28"/>
                <w:szCs w:val="28"/>
              </w:rPr>
            </w:pPr>
            <w:r>
              <w:rPr>
                <w:rFonts w:ascii="方正黑体_GBK" w:hAnsi="方正黑体_GBK" w:eastAsia="方正黑体_GBK" w:cs="宋体"/>
                <w:sz w:val="22"/>
                <w:szCs w:val="22"/>
              </w:rPr>
              <w:t>1.每一理财产品同一类份额享有同等分配权。如各类份额在费用收取上不同，其对应的可分配收益可能有所不同。</w:t>
            </w:r>
          </w:p>
          <w:p w14:paraId="2F71671D">
            <w:pPr>
              <w:spacing w:line="240" w:lineRule="auto"/>
              <w:rPr>
                <w:sz w:val="28"/>
                <w:szCs w:val="28"/>
              </w:rPr>
            </w:pPr>
            <w:r>
              <w:rPr>
                <w:rFonts w:ascii="方正黑体_GBK" w:hAnsi="方正黑体_GBK" w:eastAsia="方正黑体_GBK" w:cs="宋体"/>
                <w:sz w:val="22"/>
                <w:szCs w:val="22"/>
              </w:rPr>
              <w:t>2.在符合法律法规及理财产品销售文件约定，并对理财产品份额持有人利益无实质不利影响的前提下，管理人可对理财产品期间收益分配原则及方式进行调整，并在调整前至少3个工作日进行披露。</w:t>
            </w:r>
          </w:p>
          <w:p w14:paraId="42B9E84A">
            <w:pPr>
              <w:spacing w:line="240" w:lineRule="auto"/>
              <w:rPr>
                <w:sz w:val="28"/>
                <w:szCs w:val="28"/>
              </w:rPr>
            </w:pPr>
            <w:r>
              <w:rPr>
                <w:rFonts w:ascii="方正黑体_GBK" w:hAnsi="方正黑体_GBK" w:eastAsia="方正黑体_GBK" w:cs="宋体"/>
                <w:sz w:val="22"/>
                <w:szCs w:val="22"/>
              </w:rPr>
              <w:t>3.法律法规或监管机构另有规定的，从其规定。</w:t>
            </w:r>
          </w:p>
          <w:p w14:paraId="787E9B75">
            <w:pPr>
              <w:spacing w:line="240" w:lineRule="auto"/>
              <w:rPr>
                <w:sz w:val="28"/>
                <w:szCs w:val="28"/>
              </w:rPr>
            </w:pPr>
            <w:r>
              <w:rPr>
                <w:rFonts w:ascii="方正黑体_GBK" w:hAnsi="方正黑体_GBK" w:eastAsia="方正黑体_GBK" w:cs="宋体"/>
                <w:sz w:val="22"/>
                <w:szCs w:val="22"/>
              </w:rPr>
              <w:t>（三）收益分配方案的确定与披露</w:t>
            </w:r>
          </w:p>
          <w:p w14:paraId="1451B83F">
            <w:pPr>
              <w:spacing w:line="240" w:lineRule="auto"/>
              <w:rPr>
                <w:sz w:val="28"/>
                <w:szCs w:val="28"/>
              </w:rPr>
            </w:pPr>
            <w:r>
              <w:rPr>
                <w:rFonts w:ascii="方正黑体_GBK" w:hAnsi="方正黑体_GBK" w:eastAsia="方正黑体_GBK" w:cs="宋体"/>
                <w:sz w:val="22"/>
                <w:szCs w:val="22"/>
              </w:rPr>
              <w:t>1.期间分配</w:t>
            </w:r>
          </w:p>
          <w:p w14:paraId="4B048E59">
            <w:pPr>
              <w:spacing w:line="240" w:lineRule="auto"/>
              <w:rPr>
                <w:sz w:val="28"/>
                <w:szCs w:val="28"/>
              </w:rPr>
            </w:pPr>
            <w:r>
              <w:rPr>
                <w:rFonts w:ascii="方正黑体_GBK" w:hAnsi="方正黑体_GBK" w:eastAsia="方正黑体_GBK" w:cs="宋体"/>
                <w:sz w:val="22"/>
                <w:szCs w:val="22"/>
              </w:rPr>
              <w:t>本理财产品存续期间不进行收益分配。</w:t>
            </w:r>
          </w:p>
          <w:p w14:paraId="10AA49AE">
            <w:pPr>
              <w:spacing w:line="240" w:lineRule="auto"/>
              <w:rPr>
                <w:sz w:val="28"/>
                <w:szCs w:val="28"/>
              </w:rPr>
            </w:pPr>
            <w:r>
              <w:rPr>
                <w:rFonts w:ascii="方正黑体_GBK" w:hAnsi="方正黑体_GBK" w:eastAsia="方正黑体_GBK" w:cs="宋体"/>
                <w:sz w:val="22"/>
                <w:szCs w:val="22"/>
              </w:rPr>
              <w:t>2.终止分配</w:t>
            </w:r>
          </w:p>
          <w:p w14:paraId="78017F02">
            <w:pPr>
              <w:spacing w:line="240" w:lineRule="auto"/>
              <w:rPr>
                <w:sz w:val="28"/>
                <w:szCs w:val="28"/>
              </w:rPr>
            </w:pPr>
            <w:r>
              <w:rPr>
                <w:rFonts w:ascii="方正黑体_GBK" w:hAnsi="方正黑体_GBK" w:eastAsia="方正黑体_GBK" w:cs="宋体"/>
                <w:sz w:val="22"/>
                <w:szCs w:val="22"/>
              </w:rPr>
              <w:t>本理财产品到期或提前终止，管理人按照投资者持有理财产品份额分配清算款项。兑付资金于到期或提前终止日后5个工作日内划入投资者授权指定账户。兑付金额按照去尾法保留两位小数。投资者通过代销机构渠道购买理财产品的，理财资金划转至投资者账户的时间以代销机构的清算时间为准。</w:t>
            </w:r>
          </w:p>
        </w:tc>
      </w:tr>
      <w:tr w14:paraId="3B38C46B">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62793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705CAA1F">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27158DCE">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DE0C4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7DD4E89F">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741449EC">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1A6D9556">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7B4C7598">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07EBC846">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6DEF9131">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70332175">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D5945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41DEEC1A">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73DBFCC7">
            <w:pPr>
              <w:spacing w:line="240" w:lineRule="auto"/>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w:t>
            </w:r>
          </w:p>
        </w:tc>
      </w:tr>
      <w:tr w14:paraId="4BC7BFFE">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AFE7C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74CD22CD">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0683B508">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729CF30">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75ED2B74">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3C3E7F44">
            <w:pPr>
              <w:spacing w:line="240" w:lineRule="auto"/>
              <w:jc w:val="left"/>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64B86111">
            <w:pPr>
              <w:spacing w:line="240" w:lineRule="auto"/>
              <w:jc w:val="left"/>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0D0A691A">
            <w:pPr>
              <w:spacing w:line="240" w:lineRule="auto"/>
              <w:jc w:val="left"/>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29AA6570">
            <w:pPr>
              <w:spacing w:line="240" w:lineRule="auto"/>
              <w:jc w:val="left"/>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6DBC3C79">
            <w:pPr>
              <w:spacing w:line="240" w:lineRule="auto"/>
              <w:jc w:val="left"/>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15951D81">
            <w:pPr>
              <w:spacing w:line="240" w:lineRule="auto"/>
              <w:jc w:val="left"/>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4880B561">
            <w:pPr>
              <w:spacing w:line="240" w:lineRule="auto"/>
              <w:jc w:val="left"/>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4FCFE899">
            <w:pPr>
              <w:spacing w:line="240" w:lineRule="auto"/>
              <w:jc w:val="left"/>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77AD0F19">
            <w:pPr>
              <w:spacing w:line="240" w:lineRule="auto"/>
              <w:jc w:val="left"/>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26FA3E6F">
            <w:pPr>
              <w:spacing w:line="240" w:lineRule="auto"/>
              <w:jc w:val="left"/>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3A2978CB">
            <w:pPr>
              <w:spacing w:line="240" w:lineRule="auto"/>
              <w:jc w:val="left"/>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62A2E954">
            <w:pPr>
              <w:spacing w:line="240" w:lineRule="auto"/>
              <w:jc w:val="left"/>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7540ABB6">
            <w:pPr>
              <w:spacing w:line="240" w:lineRule="auto"/>
              <w:jc w:val="left"/>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121BDFD7">
            <w:pPr>
              <w:spacing w:line="240" w:lineRule="auto"/>
              <w:jc w:val="left"/>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2E82AFF2">
            <w:pPr>
              <w:spacing w:line="240" w:lineRule="auto"/>
              <w:jc w:val="left"/>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4C95C7FF">
            <w:pPr>
              <w:spacing w:line="240" w:lineRule="auto"/>
              <w:jc w:val="left"/>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2FC48270">
            <w:pPr>
              <w:spacing w:line="240" w:lineRule="auto"/>
              <w:jc w:val="left"/>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3DC0CF6C">
            <w:pPr>
              <w:spacing w:line="240" w:lineRule="auto"/>
              <w:jc w:val="left"/>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21D489FF">
            <w:pPr>
              <w:spacing w:line="240" w:lineRule="auto"/>
              <w:jc w:val="left"/>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5E205EBF">
            <w:pPr>
              <w:spacing w:line="240" w:lineRule="auto"/>
              <w:jc w:val="left"/>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1D183A5E">
            <w:pPr>
              <w:spacing w:line="240" w:lineRule="auto"/>
              <w:jc w:val="left"/>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5AAC2E87">
            <w:pPr>
              <w:spacing w:line="240" w:lineRule="auto"/>
              <w:jc w:val="left"/>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385C62B7">
            <w:pPr>
              <w:spacing w:line="240" w:lineRule="auto"/>
              <w:jc w:val="left"/>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791A5045">
            <w:pPr>
              <w:spacing w:line="240" w:lineRule="auto"/>
              <w:jc w:val="left"/>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34C8AE1D">
            <w:pPr>
              <w:spacing w:line="240" w:lineRule="auto"/>
              <w:jc w:val="left"/>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464404BD">
            <w:pPr>
              <w:spacing w:line="240" w:lineRule="auto"/>
              <w:jc w:val="left"/>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1D0C83ED">
            <w:pPr>
              <w:spacing w:line="240" w:lineRule="auto"/>
              <w:jc w:val="left"/>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5A05A643">
            <w:pPr>
              <w:spacing w:line="240" w:lineRule="auto"/>
              <w:jc w:val="left"/>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16D7DF9F">
            <w:pPr>
              <w:spacing w:line="240" w:lineRule="auto"/>
              <w:rPr>
                <w:sz w:val="28"/>
                <w:szCs w:val="28"/>
              </w:rPr>
            </w:pPr>
            <w:r>
              <w:rPr>
                <w:rFonts w:ascii="方正黑体_GBK" w:hAnsi="方正黑体_GBK" w:eastAsia="方正黑体_GBK" w:cs="宋体"/>
                <w:b/>
                <w:sz w:val="22"/>
                <w:szCs w:val="22"/>
              </w:rPr>
              <w:t>以上资产剩余期限均不超过产品期限。</w:t>
            </w:r>
          </w:p>
          <w:p w14:paraId="3317EF83">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5C60A0D5">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96697D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4CC30861">
            <w:pPr>
              <w:spacing w:line="240" w:lineRule="auto"/>
              <w:rPr>
                <w:sz w:val="28"/>
                <w:szCs w:val="28"/>
              </w:rPr>
            </w:pPr>
            <w:r>
              <w:rPr>
                <w:rFonts w:ascii="方正黑体_GBK" w:hAnsi="方正黑体_GBK" w:eastAsia="方正黑体_GBK" w:cs="宋体"/>
                <w:sz w:val="22"/>
                <w:szCs w:val="22"/>
              </w:rPr>
              <w:t>A份额：业绩比较基准为年化2.35%-2.6% 。</w:t>
            </w:r>
          </w:p>
          <w:p w14:paraId="3CDEBAF4">
            <w:pPr>
              <w:spacing w:line="240" w:lineRule="auto"/>
              <w:rPr>
                <w:sz w:val="28"/>
                <w:szCs w:val="28"/>
              </w:rPr>
            </w:pPr>
            <w:r>
              <w:rPr>
                <w:rFonts w:ascii="方正黑体_GBK" w:hAnsi="方正黑体_GBK" w:eastAsia="方正黑体_GBK" w:cs="宋体"/>
                <w:sz w:val="22"/>
                <w:szCs w:val="22"/>
              </w:rPr>
              <w:t>B份额：业绩比较基准为年化2.45%-2.7% 。</w:t>
            </w:r>
          </w:p>
          <w:p w14:paraId="0EB24D6E">
            <w:pPr>
              <w:spacing w:line="240" w:lineRule="auto"/>
              <w:rPr>
                <w:sz w:val="28"/>
                <w:szCs w:val="28"/>
              </w:rPr>
            </w:pPr>
            <w:r>
              <w:rPr>
                <w:rFonts w:ascii="方正黑体_GBK" w:hAnsi="方正黑体_GBK" w:eastAsia="方正黑体_GBK" w:cs="宋体"/>
                <w:sz w:val="22"/>
                <w:szCs w:val="22"/>
              </w:rPr>
              <w:t>C份额：业绩比较基准为年化2.55%-2.8% 。</w:t>
            </w:r>
          </w:p>
          <w:p w14:paraId="3EB2EC43">
            <w:pPr>
              <w:spacing w:line="240" w:lineRule="auto"/>
              <w:rPr>
                <w:sz w:val="28"/>
                <w:szCs w:val="28"/>
              </w:rPr>
            </w:pPr>
            <w:r>
              <w:rPr>
                <w:rFonts w:ascii="方正黑体_GBK" w:hAnsi="方正黑体_GBK" w:eastAsia="方正黑体_GBK" w:cs="宋体"/>
                <w:sz w:val="22"/>
                <w:szCs w:val="22"/>
              </w:rPr>
              <w:t>F份额：业绩比较基准为年化2.35%-2.6% 。</w:t>
            </w:r>
          </w:p>
          <w:p w14:paraId="7A704D11">
            <w:pPr>
              <w:spacing w:line="240" w:lineRule="auto"/>
              <w:rPr>
                <w:sz w:val="28"/>
                <w:szCs w:val="28"/>
              </w:rPr>
            </w:pPr>
            <w:r>
              <w:rPr>
                <w:rFonts w:ascii="方正黑体_GBK" w:hAnsi="方正黑体_GBK" w:eastAsia="方正黑体_GBK" w:cs="宋体"/>
                <w:sz w:val="22"/>
                <w:szCs w:val="22"/>
              </w:rPr>
              <w:t>L份额：业绩比较基准为年化2.6%-2.85% 。</w:t>
            </w:r>
          </w:p>
          <w:p w14:paraId="419E1889">
            <w:pPr>
              <w:spacing w:line="240" w:lineRule="auto"/>
              <w:rPr>
                <w:sz w:val="28"/>
                <w:szCs w:val="28"/>
              </w:rPr>
            </w:pPr>
            <w:r>
              <w:rPr>
                <w:rFonts w:ascii="方正黑体_GBK" w:hAnsi="方正黑体_GBK" w:eastAsia="方正黑体_GBK" w:cs="宋体"/>
                <w:sz w:val="22"/>
                <w:szCs w:val="22"/>
              </w:rPr>
              <w:t>M份额：业绩比较基准为年化2.35%-2.6% 。</w:t>
            </w:r>
          </w:p>
          <w:p w14:paraId="3C5705F1">
            <w:pPr>
              <w:spacing w:line="240" w:lineRule="auto"/>
              <w:rPr>
                <w:sz w:val="28"/>
                <w:szCs w:val="28"/>
              </w:rPr>
            </w:pPr>
            <w:r>
              <w:rPr>
                <w:rFonts w:ascii="方正黑体_GBK" w:hAnsi="方正黑体_GBK" w:eastAsia="方正黑体_GBK" w:cs="宋体"/>
                <w:sz w:val="22"/>
                <w:szCs w:val="22"/>
              </w:rPr>
              <w:t>N份额：业绩比较基准为年化2.55%-2.8% 。</w:t>
            </w:r>
          </w:p>
          <w:p w14:paraId="19ABD23B">
            <w:pPr>
              <w:spacing w:line="240" w:lineRule="auto"/>
              <w:rPr>
                <w:sz w:val="28"/>
                <w:szCs w:val="28"/>
              </w:rPr>
            </w:pPr>
            <w:r>
              <w:rPr>
                <w:rFonts w:ascii="方正黑体_GBK" w:hAnsi="方正黑体_GBK" w:eastAsia="方正黑体_GBK" w:cs="宋体"/>
                <w:sz w:val="22"/>
                <w:szCs w:val="22"/>
              </w:rPr>
              <w:t>A2份额：业绩比较基准为年化2.3%-2.55% 。</w:t>
            </w:r>
          </w:p>
          <w:p w14:paraId="2FB6C7B8">
            <w:pPr>
              <w:spacing w:line="240" w:lineRule="auto"/>
              <w:rPr>
                <w:sz w:val="28"/>
                <w:szCs w:val="28"/>
              </w:rPr>
            </w:pPr>
            <w:r>
              <w:rPr>
                <w:rFonts w:ascii="方正黑体_GBK" w:hAnsi="方正黑体_GBK" w:eastAsia="方正黑体_GBK" w:cs="宋体"/>
                <w:sz w:val="22"/>
                <w:szCs w:val="22"/>
              </w:rPr>
              <w:t>F2份额：业绩比较基准为年化2.4%-2.65% 。</w:t>
            </w:r>
          </w:p>
          <w:p w14:paraId="609BB4A5">
            <w:pPr>
              <w:spacing w:line="240" w:lineRule="auto"/>
              <w:rPr>
                <w:sz w:val="28"/>
                <w:szCs w:val="28"/>
              </w:rPr>
            </w:pPr>
            <w:r>
              <w:rPr>
                <w:rFonts w:ascii="方正黑体_GBK" w:hAnsi="方正黑体_GBK" w:eastAsia="方正黑体_GBK" w:cs="宋体"/>
                <w:sz w:val="22"/>
                <w:szCs w:val="22"/>
              </w:rPr>
              <w:t>G2份额：业绩比较基准为年化2.55%-2.8% 。</w:t>
            </w:r>
          </w:p>
          <w:p w14:paraId="492A415B">
            <w:pPr>
              <w:spacing w:line="240" w:lineRule="auto"/>
              <w:rPr>
                <w:sz w:val="28"/>
                <w:szCs w:val="28"/>
              </w:rPr>
            </w:pPr>
            <w:r>
              <w:rPr>
                <w:rFonts w:ascii="方正黑体_GBK" w:hAnsi="方正黑体_GBK" w:eastAsia="方正黑体_GBK" w:cs="宋体"/>
                <w:sz w:val="22"/>
                <w:szCs w:val="22"/>
              </w:rPr>
              <w:t>I2份额：业绩比较基准为年化2.45%-2.7% 。</w:t>
            </w:r>
          </w:p>
          <w:p w14:paraId="09759421">
            <w:pPr>
              <w:spacing w:line="240" w:lineRule="auto"/>
              <w:rPr>
                <w:sz w:val="28"/>
                <w:szCs w:val="28"/>
              </w:rPr>
            </w:pPr>
            <w:r>
              <w:rPr>
                <w:rFonts w:ascii="方正黑体_GBK" w:hAnsi="方正黑体_GBK" w:eastAsia="方正黑体_GBK" w:cs="宋体"/>
                <w:sz w:val="22"/>
                <w:szCs w:val="22"/>
              </w:rPr>
              <w:t>J2份额：业绩比较基准为年化2.6%-2.85% 。</w:t>
            </w:r>
          </w:p>
          <w:p w14:paraId="269659B3">
            <w:pPr>
              <w:spacing w:line="240" w:lineRule="auto"/>
              <w:rPr>
                <w:sz w:val="28"/>
                <w:szCs w:val="28"/>
              </w:rPr>
            </w:pPr>
            <w:r>
              <w:rPr>
                <w:rFonts w:ascii="方正黑体_GBK" w:hAnsi="方正黑体_GBK" w:eastAsia="方正黑体_GBK" w:cs="宋体"/>
                <w:sz w:val="22"/>
                <w:szCs w:val="22"/>
              </w:rPr>
              <w:t>K2份额：业绩比较基准为年化2.55%-2.8% 。</w:t>
            </w:r>
          </w:p>
          <w:p w14:paraId="09EC3969">
            <w:pPr>
              <w:spacing w:line="240" w:lineRule="auto"/>
              <w:rPr>
                <w:sz w:val="28"/>
                <w:szCs w:val="28"/>
              </w:rPr>
            </w:pPr>
            <w:r>
              <w:rPr>
                <w:rFonts w:ascii="方正黑体_GBK" w:hAnsi="方正黑体_GBK" w:eastAsia="方正黑体_GBK" w:cs="宋体"/>
                <w:sz w:val="22"/>
                <w:szCs w:val="22"/>
              </w:rPr>
              <w:t>L2份额：业绩比较基准为年化2.5%-2.75% 。</w:t>
            </w:r>
          </w:p>
          <w:p w14:paraId="77D7B444">
            <w:pPr>
              <w:spacing w:line="240" w:lineRule="auto"/>
              <w:rPr>
                <w:sz w:val="28"/>
                <w:szCs w:val="28"/>
              </w:rPr>
            </w:pPr>
            <w:r>
              <w:rPr>
                <w:rFonts w:ascii="方正黑体_GBK" w:hAnsi="方正黑体_GBK" w:eastAsia="方正黑体_GBK" w:cs="宋体"/>
                <w:sz w:val="22"/>
                <w:szCs w:val="22"/>
              </w:rPr>
              <w:t>M2份额：业绩比较基准为年化2.55%-2.8% 。</w:t>
            </w:r>
          </w:p>
          <w:p w14:paraId="60380041">
            <w:pPr>
              <w:spacing w:line="240" w:lineRule="auto"/>
              <w:rPr>
                <w:sz w:val="28"/>
                <w:szCs w:val="28"/>
              </w:rPr>
            </w:pPr>
            <w:r>
              <w:rPr>
                <w:rFonts w:ascii="方正黑体_GBK" w:hAnsi="方正黑体_GBK" w:eastAsia="方正黑体_GBK" w:cs="宋体"/>
                <w:sz w:val="22"/>
                <w:szCs w:val="22"/>
              </w:rPr>
              <w:t>Q份额：业绩比较基准为年化2.5%-2.75% 。</w:t>
            </w:r>
          </w:p>
          <w:p w14:paraId="7884FE82">
            <w:pPr>
              <w:spacing w:line="240" w:lineRule="auto"/>
              <w:rPr>
                <w:sz w:val="28"/>
                <w:szCs w:val="28"/>
              </w:rPr>
            </w:pPr>
            <w:r>
              <w:rPr>
                <w:rFonts w:ascii="方正黑体_GBK" w:hAnsi="方正黑体_GBK" w:eastAsia="方正黑体_GBK" w:cs="宋体"/>
                <w:sz w:val="22"/>
                <w:szCs w:val="22"/>
              </w:rPr>
              <w:t>Q1份额：业绩比较基准为年化2.48%-2.73% 。</w:t>
            </w:r>
          </w:p>
          <w:p w14:paraId="492EC323">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7F85E696">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2037BA72">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0FD8F22B">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C1C96E7">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5C6C6B08">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655BE41A">
            <w:pPr>
              <w:spacing w:line="240" w:lineRule="auto"/>
              <w:rPr>
                <w:sz w:val="28"/>
                <w:szCs w:val="28"/>
              </w:rPr>
            </w:pPr>
            <w:r>
              <w:rPr>
                <w:rFonts w:ascii="方正黑体_GBK" w:hAnsi="方正黑体_GBK" w:eastAsia="方正黑体_GBK" w:cs="宋体"/>
                <w:b/>
                <w:sz w:val="22"/>
                <w:szCs w:val="22"/>
              </w:rPr>
              <w:t>赎回费：本理财产品暂不收取赎回费。</w:t>
            </w:r>
          </w:p>
          <w:p w14:paraId="415208A4">
            <w:pPr>
              <w:spacing w:line="240" w:lineRule="auto"/>
              <w:rPr>
                <w:sz w:val="28"/>
                <w:szCs w:val="28"/>
              </w:rPr>
            </w:pPr>
            <w:r>
              <w:rPr>
                <w:rFonts w:ascii="方正黑体_GBK" w:hAnsi="方正黑体_GBK" w:eastAsia="方正黑体_GBK" w:cs="宋体"/>
                <w:b/>
                <w:sz w:val="22"/>
                <w:szCs w:val="22"/>
              </w:rPr>
              <w:t>销售费：</w:t>
            </w:r>
          </w:p>
          <w:p w14:paraId="7465BCC1">
            <w:pPr>
              <w:spacing w:line="240" w:lineRule="auto"/>
              <w:rPr>
                <w:sz w:val="28"/>
                <w:szCs w:val="28"/>
              </w:rPr>
            </w:pPr>
            <w:r>
              <w:rPr>
                <w:rFonts w:ascii="方正黑体_GBK" w:hAnsi="方正黑体_GBK" w:eastAsia="方正黑体_GBK" w:cs="宋体"/>
                <w:b/>
                <w:sz w:val="22"/>
                <w:szCs w:val="22"/>
              </w:rPr>
              <w:t>A份额：</w:t>
            </w:r>
          </w:p>
          <w:p w14:paraId="5DEF95AF">
            <w:pPr>
              <w:spacing w:line="240" w:lineRule="auto"/>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0FD78500">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72B041B1">
            <w:pPr>
              <w:spacing w:line="240" w:lineRule="auto"/>
              <w:rPr>
                <w:sz w:val="28"/>
                <w:szCs w:val="28"/>
              </w:rPr>
            </w:pPr>
            <w:r>
              <w:rPr>
                <w:rFonts w:ascii="方正黑体_GBK" w:hAnsi="方正黑体_GBK" w:eastAsia="方正黑体_GBK" w:cs="宋体"/>
                <w:b/>
                <w:sz w:val="22"/>
                <w:szCs w:val="22"/>
              </w:rPr>
              <w:t>B份额，I2份额：</w:t>
            </w:r>
          </w:p>
          <w:p w14:paraId="0142BD2F">
            <w:pPr>
              <w:spacing w:line="240" w:lineRule="auto"/>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4ED71A31">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37B7A850">
            <w:pPr>
              <w:spacing w:line="240" w:lineRule="auto"/>
              <w:rPr>
                <w:sz w:val="28"/>
                <w:szCs w:val="28"/>
              </w:rPr>
            </w:pPr>
            <w:r>
              <w:rPr>
                <w:rFonts w:ascii="方正黑体_GBK" w:hAnsi="方正黑体_GBK" w:eastAsia="方正黑体_GBK" w:cs="宋体"/>
                <w:b/>
                <w:sz w:val="22"/>
                <w:szCs w:val="22"/>
              </w:rPr>
              <w:t>C份额，L份额，G2份额，M2份额：</w:t>
            </w:r>
          </w:p>
          <w:p w14:paraId="2132CC45">
            <w:pPr>
              <w:spacing w:line="240" w:lineRule="auto"/>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2D8F33E0">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3B1F2136">
            <w:pPr>
              <w:spacing w:line="240" w:lineRule="auto"/>
              <w:rPr>
                <w:sz w:val="28"/>
                <w:szCs w:val="28"/>
              </w:rPr>
            </w:pPr>
            <w:r>
              <w:rPr>
                <w:rFonts w:ascii="方正黑体_GBK" w:hAnsi="方正黑体_GBK" w:eastAsia="方正黑体_GBK" w:cs="宋体"/>
                <w:b/>
                <w:sz w:val="22"/>
                <w:szCs w:val="22"/>
              </w:rPr>
              <w:t>F份额，A2份额，F2份额：</w:t>
            </w:r>
          </w:p>
          <w:p w14:paraId="28D83BC4">
            <w:pPr>
              <w:spacing w:line="240" w:lineRule="auto"/>
              <w:rPr>
                <w:sz w:val="28"/>
                <w:szCs w:val="28"/>
              </w:rPr>
            </w:pPr>
            <w:r>
              <w:rPr>
                <w:rFonts w:ascii="方正黑体_GBK" w:hAnsi="方正黑体_GBK" w:eastAsia="方正黑体_GBK" w:cs="宋体"/>
                <w:b/>
                <w:sz w:val="22"/>
                <w:szCs w:val="22"/>
              </w:rPr>
              <w:t>本理财产品按前一日理财产品资产净值收取年化0.25%的销售费，按日计提。</w:t>
            </w:r>
          </w:p>
          <w:p w14:paraId="21E9C993">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3E0B3CB">
            <w:pPr>
              <w:spacing w:line="240" w:lineRule="auto"/>
              <w:rPr>
                <w:sz w:val="28"/>
                <w:szCs w:val="28"/>
              </w:rPr>
            </w:pPr>
            <w:r>
              <w:rPr>
                <w:rFonts w:ascii="方正黑体_GBK" w:hAnsi="方正黑体_GBK" w:eastAsia="方正黑体_GBK" w:cs="宋体"/>
                <w:b/>
                <w:sz w:val="22"/>
                <w:szCs w:val="22"/>
              </w:rPr>
              <w:t>M份额：</w:t>
            </w:r>
          </w:p>
          <w:p w14:paraId="29DD5635">
            <w:pPr>
              <w:spacing w:line="240" w:lineRule="auto"/>
              <w:rPr>
                <w:sz w:val="28"/>
                <w:szCs w:val="28"/>
              </w:rPr>
            </w:pPr>
            <w:r>
              <w:rPr>
                <w:rFonts w:ascii="方正黑体_GBK" w:hAnsi="方正黑体_GBK" w:eastAsia="方正黑体_GBK" w:cs="宋体"/>
                <w:b/>
                <w:sz w:val="22"/>
                <w:szCs w:val="22"/>
              </w:rPr>
              <w:t>本理财产品一次性收取年化0.3%的销售费，按日摊销。</w:t>
            </w:r>
          </w:p>
          <w:p w14:paraId="1A6DAA63">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71566E92">
            <w:pPr>
              <w:spacing w:line="240" w:lineRule="auto"/>
              <w:rPr>
                <w:sz w:val="28"/>
                <w:szCs w:val="28"/>
              </w:rPr>
            </w:pPr>
            <w:r>
              <w:rPr>
                <w:rFonts w:ascii="方正黑体_GBK" w:hAnsi="方正黑体_GBK" w:eastAsia="方正黑体_GBK" w:cs="宋体"/>
                <w:b/>
                <w:sz w:val="22"/>
                <w:szCs w:val="22"/>
              </w:rPr>
              <w:t>N份额：</w:t>
            </w:r>
          </w:p>
          <w:p w14:paraId="71763593">
            <w:pPr>
              <w:spacing w:line="240" w:lineRule="auto"/>
              <w:rPr>
                <w:sz w:val="28"/>
                <w:szCs w:val="28"/>
              </w:rPr>
            </w:pPr>
            <w:r>
              <w:rPr>
                <w:rFonts w:ascii="方正黑体_GBK" w:hAnsi="方正黑体_GBK" w:eastAsia="方正黑体_GBK" w:cs="宋体"/>
                <w:b/>
                <w:sz w:val="22"/>
                <w:szCs w:val="22"/>
              </w:rPr>
              <w:t>本理财产品一次性收取年化0.1%的销售费，按日摊销。</w:t>
            </w:r>
          </w:p>
          <w:p w14:paraId="6DF74595">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497C1047">
            <w:pPr>
              <w:spacing w:line="240" w:lineRule="auto"/>
              <w:rPr>
                <w:sz w:val="28"/>
                <w:szCs w:val="28"/>
              </w:rPr>
            </w:pPr>
            <w:r>
              <w:rPr>
                <w:rFonts w:ascii="方正黑体_GBK" w:hAnsi="方正黑体_GBK" w:eastAsia="方正黑体_GBK" w:cs="宋体"/>
                <w:b/>
                <w:sz w:val="22"/>
                <w:szCs w:val="22"/>
              </w:rPr>
              <w:t>J2份额：</w:t>
            </w:r>
          </w:p>
          <w:p w14:paraId="33F6F738">
            <w:pPr>
              <w:spacing w:line="240" w:lineRule="auto"/>
              <w:rPr>
                <w:sz w:val="28"/>
                <w:szCs w:val="28"/>
              </w:rPr>
            </w:pPr>
            <w:r>
              <w:rPr>
                <w:rFonts w:ascii="方正黑体_GBK" w:hAnsi="方正黑体_GBK" w:eastAsia="方正黑体_GBK" w:cs="宋体"/>
                <w:b/>
                <w:sz w:val="22"/>
                <w:szCs w:val="22"/>
              </w:rPr>
              <w:t>本理财产品一次性收取年化0.05%的销售费，按日摊销。</w:t>
            </w:r>
          </w:p>
          <w:p w14:paraId="0E8B6A04">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7838075D">
            <w:pPr>
              <w:spacing w:line="240" w:lineRule="auto"/>
              <w:rPr>
                <w:sz w:val="28"/>
                <w:szCs w:val="28"/>
              </w:rPr>
            </w:pPr>
            <w:r>
              <w:rPr>
                <w:rFonts w:ascii="方正黑体_GBK" w:hAnsi="方正黑体_GBK" w:eastAsia="方正黑体_GBK" w:cs="宋体"/>
                <w:b/>
                <w:sz w:val="22"/>
                <w:szCs w:val="22"/>
              </w:rPr>
              <w:t>K2份额：</w:t>
            </w:r>
          </w:p>
          <w:p w14:paraId="44FC6E62">
            <w:pPr>
              <w:spacing w:line="240" w:lineRule="auto"/>
              <w:rPr>
                <w:sz w:val="28"/>
                <w:szCs w:val="28"/>
              </w:rPr>
            </w:pPr>
            <w:r>
              <w:rPr>
                <w:rFonts w:ascii="方正黑体_GBK" w:hAnsi="方正黑体_GBK" w:eastAsia="方正黑体_GBK" w:cs="宋体"/>
                <w:b/>
                <w:sz w:val="22"/>
                <w:szCs w:val="22"/>
              </w:rPr>
              <w:t>本理财产品一次性收取年化0.15%的销售费，按日摊销。</w:t>
            </w:r>
          </w:p>
          <w:p w14:paraId="7FD0F868">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347E4FB8">
            <w:pPr>
              <w:spacing w:line="240" w:lineRule="auto"/>
              <w:rPr>
                <w:sz w:val="28"/>
                <w:szCs w:val="28"/>
              </w:rPr>
            </w:pPr>
            <w:r>
              <w:rPr>
                <w:rFonts w:ascii="方正黑体_GBK" w:hAnsi="方正黑体_GBK" w:eastAsia="方正黑体_GBK" w:cs="宋体"/>
                <w:b/>
                <w:sz w:val="22"/>
                <w:szCs w:val="22"/>
              </w:rPr>
              <w:t>L2份额，Q份额：</w:t>
            </w:r>
          </w:p>
          <w:p w14:paraId="076BACE9">
            <w:pPr>
              <w:spacing w:line="240" w:lineRule="auto"/>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57905096">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33D0A9B0">
            <w:pPr>
              <w:spacing w:line="240" w:lineRule="auto"/>
              <w:rPr>
                <w:sz w:val="28"/>
                <w:szCs w:val="28"/>
              </w:rPr>
            </w:pPr>
            <w:r>
              <w:rPr>
                <w:rFonts w:ascii="方正黑体_GBK" w:hAnsi="方正黑体_GBK" w:eastAsia="方正黑体_GBK" w:cs="宋体"/>
                <w:b/>
                <w:sz w:val="22"/>
                <w:szCs w:val="22"/>
              </w:rPr>
              <w:t>Q1份额：</w:t>
            </w:r>
          </w:p>
          <w:p w14:paraId="0667A3B6">
            <w:pPr>
              <w:spacing w:line="240" w:lineRule="auto"/>
              <w:rPr>
                <w:sz w:val="28"/>
                <w:szCs w:val="28"/>
              </w:rPr>
            </w:pPr>
            <w:r>
              <w:rPr>
                <w:rFonts w:ascii="方正黑体_GBK" w:hAnsi="方正黑体_GBK" w:eastAsia="方正黑体_GBK" w:cs="宋体"/>
                <w:b/>
                <w:sz w:val="22"/>
                <w:szCs w:val="22"/>
              </w:rPr>
              <w:t>本理财产品按前一日理财产品资产净值收取年化0.17%的销售费，按日计提。</w:t>
            </w:r>
          </w:p>
          <w:p w14:paraId="15F19F5D">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749D50F9">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446F091B">
            <w:pPr>
              <w:spacing w:line="240" w:lineRule="auto"/>
              <w:rPr>
                <w:sz w:val="28"/>
                <w:szCs w:val="28"/>
              </w:rPr>
            </w:pPr>
            <w:r>
              <w:rPr>
                <w:rFonts w:ascii="方正黑体_GBK" w:hAnsi="方正黑体_GBK" w:eastAsia="方正黑体_GBK" w:cs="宋体"/>
                <w:b/>
                <w:sz w:val="22"/>
                <w:szCs w:val="22"/>
              </w:rPr>
              <w:t>A份额：固定管理费年化0.2%</w:t>
            </w:r>
          </w:p>
          <w:p w14:paraId="23DD31BD">
            <w:pPr>
              <w:spacing w:line="240" w:lineRule="auto"/>
              <w:rPr>
                <w:sz w:val="28"/>
                <w:szCs w:val="28"/>
              </w:rPr>
            </w:pPr>
            <w:r>
              <w:rPr>
                <w:rFonts w:ascii="方正黑体_GBK" w:hAnsi="方正黑体_GBK" w:eastAsia="方正黑体_GBK" w:cs="宋体"/>
                <w:b/>
                <w:sz w:val="22"/>
                <w:szCs w:val="22"/>
              </w:rPr>
              <w:t>B份额：固定管理费年化0.15%</w:t>
            </w:r>
          </w:p>
          <w:p w14:paraId="5D85B21C">
            <w:pPr>
              <w:spacing w:line="240" w:lineRule="auto"/>
              <w:rPr>
                <w:sz w:val="28"/>
                <w:szCs w:val="28"/>
              </w:rPr>
            </w:pPr>
            <w:r>
              <w:rPr>
                <w:rFonts w:ascii="方正黑体_GBK" w:hAnsi="方正黑体_GBK" w:eastAsia="方正黑体_GBK" w:cs="宋体"/>
                <w:b/>
                <w:sz w:val="22"/>
                <w:szCs w:val="22"/>
              </w:rPr>
              <w:t>C份额：固定管理费年化0.15%</w:t>
            </w:r>
          </w:p>
          <w:p w14:paraId="059CF48F">
            <w:pPr>
              <w:spacing w:line="240" w:lineRule="auto"/>
              <w:rPr>
                <w:sz w:val="28"/>
                <w:szCs w:val="28"/>
              </w:rPr>
            </w:pPr>
            <w:r>
              <w:rPr>
                <w:rFonts w:ascii="方正黑体_GBK" w:hAnsi="方正黑体_GBK" w:eastAsia="方正黑体_GBK" w:cs="宋体"/>
                <w:b/>
                <w:sz w:val="22"/>
                <w:szCs w:val="22"/>
              </w:rPr>
              <w:t>F份额：固定管理费年化0.15%</w:t>
            </w:r>
          </w:p>
          <w:p w14:paraId="0AD1C321">
            <w:pPr>
              <w:spacing w:line="240" w:lineRule="auto"/>
              <w:rPr>
                <w:sz w:val="28"/>
                <w:szCs w:val="28"/>
              </w:rPr>
            </w:pPr>
            <w:r>
              <w:rPr>
                <w:rFonts w:ascii="方正黑体_GBK" w:hAnsi="方正黑体_GBK" w:eastAsia="方正黑体_GBK" w:cs="宋体"/>
                <w:b/>
                <w:sz w:val="22"/>
                <w:szCs w:val="22"/>
              </w:rPr>
              <w:t>L份额：固定管理费年化0.1%</w:t>
            </w:r>
          </w:p>
          <w:p w14:paraId="04EDD52A">
            <w:pPr>
              <w:spacing w:line="240" w:lineRule="auto"/>
              <w:rPr>
                <w:sz w:val="28"/>
                <w:szCs w:val="28"/>
              </w:rPr>
            </w:pPr>
            <w:r>
              <w:rPr>
                <w:rFonts w:ascii="方正黑体_GBK" w:hAnsi="方正黑体_GBK" w:eastAsia="方正黑体_GBK" w:cs="宋体"/>
                <w:b/>
                <w:sz w:val="22"/>
                <w:szCs w:val="22"/>
              </w:rPr>
              <w:t>M份额：固定管理费年化0.1%</w:t>
            </w:r>
          </w:p>
          <w:p w14:paraId="030BC361">
            <w:pPr>
              <w:spacing w:line="240" w:lineRule="auto"/>
              <w:rPr>
                <w:sz w:val="28"/>
                <w:szCs w:val="28"/>
              </w:rPr>
            </w:pPr>
            <w:r>
              <w:rPr>
                <w:rFonts w:ascii="方正黑体_GBK" w:hAnsi="方正黑体_GBK" w:eastAsia="方正黑体_GBK" w:cs="宋体"/>
                <w:b/>
                <w:sz w:val="22"/>
                <w:szCs w:val="22"/>
              </w:rPr>
              <w:t>N份额：固定管理费年化0.1%</w:t>
            </w:r>
          </w:p>
          <w:p w14:paraId="5D97E715">
            <w:pPr>
              <w:spacing w:line="240" w:lineRule="auto"/>
              <w:rPr>
                <w:sz w:val="28"/>
                <w:szCs w:val="28"/>
              </w:rPr>
            </w:pPr>
            <w:r>
              <w:rPr>
                <w:rFonts w:ascii="方正黑体_GBK" w:hAnsi="方正黑体_GBK" w:eastAsia="方正黑体_GBK" w:cs="宋体"/>
                <w:b/>
                <w:sz w:val="22"/>
                <w:szCs w:val="22"/>
              </w:rPr>
              <w:t>A2份额：固定管理费年化0.2%</w:t>
            </w:r>
          </w:p>
          <w:p w14:paraId="2CC084C4">
            <w:pPr>
              <w:spacing w:line="240" w:lineRule="auto"/>
              <w:rPr>
                <w:sz w:val="28"/>
                <w:szCs w:val="28"/>
              </w:rPr>
            </w:pPr>
            <w:r>
              <w:rPr>
                <w:rFonts w:ascii="方正黑体_GBK" w:hAnsi="方正黑体_GBK" w:eastAsia="方正黑体_GBK" w:cs="宋体"/>
                <w:b/>
                <w:sz w:val="22"/>
                <w:szCs w:val="22"/>
              </w:rPr>
              <w:t>F2份额：固定管理费年化0.1%</w:t>
            </w:r>
          </w:p>
          <w:p w14:paraId="5E4BFEF6">
            <w:pPr>
              <w:spacing w:line="240" w:lineRule="auto"/>
              <w:rPr>
                <w:sz w:val="28"/>
                <w:szCs w:val="28"/>
              </w:rPr>
            </w:pPr>
            <w:r>
              <w:rPr>
                <w:rFonts w:ascii="方正黑体_GBK" w:hAnsi="方正黑体_GBK" w:eastAsia="方正黑体_GBK" w:cs="宋体"/>
                <w:b/>
                <w:sz w:val="22"/>
                <w:szCs w:val="22"/>
              </w:rPr>
              <w:t>G2份额：固定管理费年化0.15%</w:t>
            </w:r>
          </w:p>
          <w:p w14:paraId="3723CC44">
            <w:pPr>
              <w:spacing w:line="240" w:lineRule="auto"/>
              <w:rPr>
                <w:sz w:val="28"/>
                <w:szCs w:val="28"/>
              </w:rPr>
            </w:pPr>
            <w:r>
              <w:rPr>
                <w:rFonts w:ascii="方正黑体_GBK" w:hAnsi="方正黑体_GBK" w:eastAsia="方正黑体_GBK" w:cs="宋体"/>
                <w:b/>
                <w:sz w:val="22"/>
                <w:szCs w:val="22"/>
              </w:rPr>
              <w:t>I2份额：固定管理费年化0.15%</w:t>
            </w:r>
          </w:p>
          <w:p w14:paraId="031BCB90">
            <w:pPr>
              <w:spacing w:line="240" w:lineRule="auto"/>
              <w:rPr>
                <w:sz w:val="28"/>
                <w:szCs w:val="28"/>
              </w:rPr>
            </w:pPr>
            <w:r>
              <w:rPr>
                <w:rFonts w:ascii="方正黑体_GBK" w:hAnsi="方正黑体_GBK" w:eastAsia="方正黑体_GBK" w:cs="宋体"/>
                <w:b/>
                <w:sz w:val="22"/>
                <w:szCs w:val="22"/>
              </w:rPr>
              <w:t>J2份额：固定管理费年化0.1%</w:t>
            </w:r>
          </w:p>
          <w:p w14:paraId="288B434A">
            <w:pPr>
              <w:spacing w:line="240" w:lineRule="auto"/>
              <w:rPr>
                <w:sz w:val="28"/>
                <w:szCs w:val="28"/>
              </w:rPr>
            </w:pPr>
            <w:r>
              <w:rPr>
                <w:rFonts w:ascii="方正黑体_GBK" w:hAnsi="方正黑体_GBK" w:eastAsia="方正黑体_GBK" w:cs="宋体"/>
                <w:b/>
                <w:sz w:val="22"/>
                <w:szCs w:val="22"/>
              </w:rPr>
              <w:t>K2份额：固定管理费年化0.05%</w:t>
            </w:r>
          </w:p>
          <w:p w14:paraId="34F2AAFF">
            <w:pPr>
              <w:spacing w:line="240" w:lineRule="auto"/>
              <w:rPr>
                <w:sz w:val="28"/>
                <w:szCs w:val="28"/>
              </w:rPr>
            </w:pPr>
            <w:r>
              <w:rPr>
                <w:rFonts w:ascii="方正黑体_GBK" w:hAnsi="方正黑体_GBK" w:eastAsia="方正黑体_GBK" w:cs="宋体"/>
                <w:b/>
                <w:sz w:val="22"/>
                <w:szCs w:val="22"/>
              </w:rPr>
              <w:t>L2份额：固定管理费年化0.15%</w:t>
            </w:r>
          </w:p>
          <w:p w14:paraId="542A530B">
            <w:pPr>
              <w:spacing w:line="240" w:lineRule="auto"/>
              <w:rPr>
                <w:sz w:val="28"/>
                <w:szCs w:val="28"/>
              </w:rPr>
            </w:pPr>
            <w:r>
              <w:rPr>
                <w:rFonts w:ascii="方正黑体_GBK" w:hAnsi="方正黑体_GBK" w:eastAsia="方正黑体_GBK" w:cs="宋体"/>
                <w:b/>
                <w:sz w:val="22"/>
                <w:szCs w:val="22"/>
              </w:rPr>
              <w:t>M2份额：固定管理费年化0.15%</w:t>
            </w:r>
          </w:p>
          <w:p w14:paraId="32EC8430">
            <w:pPr>
              <w:spacing w:line="240" w:lineRule="auto"/>
              <w:rPr>
                <w:sz w:val="28"/>
                <w:szCs w:val="28"/>
              </w:rPr>
            </w:pPr>
            <w:r>
              <w:rPr>
                <w:rFonts w:ascii="方正黑体_GBK" w:hAnsi="方正黑体_GBK" w:eastAsia="方正黑体_GBK" w:cs="宋体"/>
                <w:b/>
                <w:sz w:val="22"/>
                <w:szCs w:val="22"/>
              </w:rPr>
              <w:t>Q份额：固定管理费年化0.15%</w:t>
            </w:r>
          </w:p>
          <w:p w14:paraId="46A16D70">
            <w:pPr>
              <w:spacing w:line="240" w:lineRule="auto"/>
              <w:rPr>
                <w:sz w:val="28"/>
                <w:szCs w:val="28"/>
              </w:rPr>
            </w:pPr>
            <w:r>
              <w:rPr>
                <w:rFonts w:ascii="方正黑体_GBK" w:hAnsi="方正黑体_GBK" w:eastAsia="方正黑体_GBK" w:cs="宋体"/>
                <w:b/>
                <w:sz w:val="22"/>
                <w:szCs w:val="22"/>
              </w:rPr>
              <w:t>Q1份额：固定管理费年化0.1%</w:t>
            </w:r>
          </w:p>
          <w:p w14:paraId="29EDA253">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4FCB852A">
            <w:pPr>
              <w:spacing w:line="240" w:lineRule="auto"/>
              <w:rPr>
                <w:sz w:val="28"/>
                <w:szCs w:val="28"/>
              </w:rPr>
            </w:pPr>
            <w:r>
              <w:rPr>
                <w:rFonts w:ascii="方正黑体_GBK" w:hAnsi="方正黑体_GBK" w:eastAsia="方正黑体_GBK" w:cs="宋体"/>
                <w:b/>
                <w:sz w:val="22"/>
                <w:szCs w:val="22"/>
              </w:rPr>
              <w:t>托管费：</w:t>
            </w:r>
          </w:p>
          <w:p w14:paraId="5D3BBC39">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45FC6EDE">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66CFBF4C">
            <w:pPr>
              <w:spacing w:line="240" w:lineRule="auto"/>
              <w:rPr>
                <w:sz w:val="28"/>
                <w:szCs w:val="28"/>
              </w:rPr>
            </w:pPr>
            <w:r>
              <w:rPr>
                <w:rFonts w:ascii="方正黑体_GBK" w:hAnsi="方正黑体_GBK" w:eastAsia="方正黑体_GBK" w:cs="宋体"/>
                <w:b/>
                <w:sz w:val="22"/>
                <w:szCs w:val="22"/>
              </w:rPr>
              <w:t>信息技术服务费：</w:t>
            </w:r>
          </w:p>
          <w:p w14:paraId="13FF64B2">
            <w:pPr>
              <w:spacing w:line="240" w:lineRule="auto"/>
              <w:rPr>
                <w:sz w:val="28"/>
                <w:szCs w:val="28"/>
              </w:rPr>
            </w:pPr>
            <w:r>
              <w:rPr>
                <w:rFonts w:ascii="方正黑体_GBK" w:hAnsi="方正黑体_GBK" w:eastAsia="方正黑体_GBK" w:cs="宋体"/>
                <w:b/>
                <w:sz w:val="22"/>
                <w:szCs w:val="22"/>
              </w:rPr>
              <w:t>本理财产品按前一日理财产品资产净值收取年化0.002%的信息技术服务费，按日计提。</w:t>
            </w:r>
          </w:p>
          <w:p w14:paraId="61952BD8">
            <w:pPr>
              <w:spacing w:line="240" w:lineRule="auto"/>
              <w:rPr>
                <w:sz w:val="28"/>
                <w:szCs w:val="28"/>
              </w:rPr>
            </w:pPr>
            <w:r>
              <w:rPr>
                <w:rFonts w:ascii="方正黑体_GBK" w:hAnsi="方正黑体_GBK" w:eastAsia="方正黑体_GBK" w:cs="宋体"/>
                <w:b/>
                <w:sz w:val="22"/>
                <w:szCs w:val="22"/>
              </w:rPr>
              <w:t>每日计提的信息技术服务费=前一日理财产品资产净值×年化信息技术服务费率÷365</w:t>
            </w:r>
          </w:p>
          <w:p w14:paraId="0F94AB5B">
            <w:pPr>
              <w:spacing w:line="240" w:lineRule="auto"/>
              <w:rPr>
                <w:sz w:val="28"/>
                <w:szCs w:val="28"/>
              </w:rPr>
            </w:pPr>
            <w:r>
              <w:rPr>
                <w:rFonts w:ascii="方正黑体_GBK" w:hAnsi="方正黑体_GBK" w:eastAsia="方正黑体_GBK" w:cs="宋体"/>
                <w:b/>
                <w:sz w:val="22"/>
                <w:szCs w:val="22"/>
              </w:rPr>
              <w:t>业绩报酬：</w:t>
            </w:r>
          </w:p>
          <w:p w14:paraId="3CD31D31">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在2.35%（含）（年化，即产品该份额对应的业绩报酬计提基准）至2.6%（不含）之间的部分，管理人将按超过2.35%部分的50%收取业绩报酬；在2.6%（含）（年化，即产品该份额对应的业绩报酬计提基准）以上的部分，管理人将按超过2.6%部分的60%收取业绩报酬。</w:t>
            </w:r>
          </w:p>
          <w:p w14:paraId="2D99BED5">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在2.45%（含）（年化，即产品该份额对应的业绩报酬计提基准）至2.7%（不含）之间的部分，管理人将按超过2.45%部分的50%收取业绩报酬；在2.7%（含）（年化，即产品该份额对应的业绩报酬计提基准）以上的部分，管理人将按超过2.7%部分的60%收取业绩报酬。</w:t>
            </w:r>
          </w:p>
          <w:p w14:paraId="44E62F53">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58255743">
            <w:pPr>
              <w:spacing w:line="240" w:lineRule="auto"/>
              <w:rPr>
                <w:sz w:val="28"/>
                <w:szCs w:val="28"/>
              </w:rPr>
            </w:pPr>
            <w:r>
              <w:rPr>
                <w:rFonts w:ascii="方正黑体_GBK" w:hAnsi="方正黑体_GBK" w:eastAsia="方正黑体_GBK" w:cs="宋体"/>
                <w:b/>
                <w:sz w:val="22"/>
                <w:szCs w:val="22"/>
              </w:rPr>
              <w:t>F份额：到期兑付时，当期产品投资的实际资产组合收益（扣除销售费、固定管理费、托管费等相关费用）在2.35%（含）（年化，即产品该份额对应的业绩报酬计提基准）至2.6%（不含）之间的部分，管理人将按超过2.35%部分的50%收取业绩报酬；在2.6%（含）（年化，即产品该份额对应的业绩报酬计提基准）以上的部分，管理人将按超过2.6%部分的60%收取业绩报酬。</w:t>
            </w:r>
          </w:p>
          <w:p w14:paraId="60F6B1D9">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16815B8E">
            <w:pPr>
              <w:spacing w:line="240" w:lineRule="auto"/>
              <w:rPr>
                <w:sz w:val="28"/>
                <w:szCs w:val="28"/>
              </w:rPr>
            </w:pPr>
            <w:r>
              <w:rPr>
                <w:rFonts w:ascii="方正黑体_GBK" w:hAnsi="方正黑体_GBK" w:eastAsia="方正黑体_GBK" w:cs="宋体"/>
                <w:b/>
                <w:sz w:val="22"/>
                <w:szCs w:val="22"/>
              </w:rPr>
              <w:t>M份额：到期兑付时，当期产品投资的实际资产组合收益（扣除销售费、固定管理费、托管费等相关费用）在2.35%（含）（年化，即产品该份额对应的业绩报酬计提基准）至2.6%（不含）之间的部分，管理人将按超过2.35%部分的50%收取业绩报酬；在2.6%（含）（年化，即产品该份额对应的业绩报酬计提基准）以上的部分，管理人将按超过2.6%部分的60%收取业绩报酬。</w:t>
            </w:r>
          </w:p>
          <w:p w14:paraId="1B0579FC">
            <w:pPr>
              <w:spacing w:line="240" w:lineRule="auto"/>
              <w:rPr>
                <w:sz w:val="28"/>
                <w:szCs w:val="28"/>
              </w:rPr>
            </w:pPr>
            <w:r>
              <w:rPr>
                <w:rFonts w:ascii="方正黑体_GBK" w:hAnsi="方正黑体_GBK" w:eastAsia="方正黑体_GBK" w:cs="宋体"/>
                <w:b/>
                <w:sz w:val="22"/>
                <w:szCs w:val="22"/>
              </w:rPr>
              <w:t>N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1EF604B3">
            <w:pPr>
              <w:spacing w:line="240" w:lineRule="auto"/>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在2.3%（含）（年化，即产品该份额对应的业绩报酬计提基准）至2.55%（不含）之间的部分，管理人将按超过2.3%部分的50%收取业绩报酬；在2.55%（含）（年化，即产品该份额对应的业绩报酬计提基准）以上的部分，管理人将按超过2.55%部分的60%收取业绩报酬。</w:t>
            </w:r>
          </w:p>
          <w:p w14:paraId="76D3BA84">
            <w:pPr>
              <w:spacing w:line="240" w:lineRule="auto"/>
              <w:rPr>
                <w:sz w:val="28"/>
                <w:szCs w:val="28"/>
              </w:rPr>
            </w:pPr>
            <w:r>
              <w:rPr>
                <w:rFonts w:ascii="方正黑体_GBK" w:hAnsi="方正黑体_GBK" w:eastAsia="方正黑体_GBK" w:cs="宋体"/>
                <w:b/>
                <w:sz w:val="22"/>
                <w:szCs w:val="22"/>
              </w:rPr>
              <w:t>F2份额：到期兑付时，当期产品投资的实际资产组合收益（扣除销售费、固定管理费、托管费等相关费用）在2.4%（含）（年化，即产品该份额对应的业绩报酬计提基准）至2.65%（不含）之间的部分，管理人将按超过2.4%部分的50%收取业绩报酬；在2.65%（含）（年化，即产品该份额对应的业绩报酬计提基准）以上的部分，管理人将按超过2.65%部分的60%收取业绩报酬。</w:t>
            </w:r>
          </w:p>
          <w:p w14:paraId="26B87E10">
            <w:pPr>
              <w:spacing w:line="240" w:lineRule="auto"/>
              <w:rPr>
                <w:sz w:val="28"/>
                <w:szCs w:val="28"/>
              </w:rPr>
            </w:pPr>
            <w:r>
              <w:rPr>
                <w:rFonts w:ascii="方正黑体_GBK" w:hAnsi="方正黑体_GBK" w:eastAsia="方正黑体_GBK" w:cs="宋体"/>
                <w:b/>
                <w:sz w:val="22"/>
                <w:szCs w:val="22"/>
              </w:rPr>
              <w:t>G2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79DC0105">
            <w:pPr>
              <w:spacing w:line="240" w:lineRule="auto"/>
              <w:rPr>
                <w:sz w:val="28"/>
                <w:szCs w:val="28"/>
              </w:rPr>
            </w:pPr>
            <w:r>
              <w:rPr>
                <w:rFonts w:ascii="方正黑体_GBK" w:hAnsi="方正黑体_GBK" w:eastAsia="方正黑体_GBK" w:cs="宋体"/>
                <w:b/>
                <w:sz w:val="22"/>
                <w:szCs w:val="22"/>
              </w:rPr>
              <w:t>I2份额：到期兑付时，当期产品投资的实际资产组合收益（扣除销售费、固定管理费、托管费等相关费用）在2.45%（含）（年化，即产品该份额对应的业绩报酬计提基准）至2.7%（不含）之间的部分，管理人将按超过2.45%部分的50%收取业绩报酬；在2.7%（含）（年化，即产品该份额对应的业绩报酬计提基准）以上的部分，管理人将按超过2.7%部分的60%收取业绩报酬。</w:t>
            </w:r>
          </w:p>
          <w:p w14:paraId="3560C571">
            <w:pPr>
              <w:spacing w:line="240" w:lineRule="auto"/>
              <w:rPr>
                <w:sz w:val="28"/>
                <w:szCs w:val="28"/>
              </w:rPr>
            </w:pPr>
            <w:r>
              <w:rPr>
                <w:rFonts w:ascii="方正黑体_GBK" w:hAnsi="方正黑体_GBK" w:eastAsia="方正黑体_GBK" w:cs="宋体"/>
                <w:b/>
                <w:sz w:val="22"/>
                <w:szCs w:val="22"/>
              </w:rPr>
              <w:t>J2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47642407">
            <w:pPr>
              <w:spacing w:line="240" w:lineRule="auto"/>
              <w:rPr>
                <w:sz w:val="28"/>
                <w:szCs w:val="28"/>
              </w:rPr>
            </w:pPr>
            <w:r>
              <w:rPr>
                <w:rFonts w:ascii="方正黑体_GBK" w:hAnsi="方正黑体_GBK" w:eastAsia="方正黑体_GBK" w:cs="宋体"/>
                <w:b/>
                <w:sz w:val="22"/>
                <w:szCs w:val="22"/>
              </w:rPr>
              <w:t>K2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34FD6C43">
            <w:pPr>
              <w:spacing w:line="240" w:lineRule="auto"/>
              <w:rPr>
                <w:sz w:val="28"/>
                <w:szCs w:val="28"/>
              </w:rPr>
            </w:pPr>
            <w:r>
              <w:rPr>
                <w:rFonts w:ascii="方正黑体_GBK" w:hAnsi="方正黑体_GBK" w:eastAsia="方正黑体_GBK" w:cs="宋体"/>
                <w:b/>
                <w:sz w:val="22"/>
                <w:szCs w:val="22"/>
              </w:rPr>
              <w:t>L2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64E9F208">
            <w:pPr>
              <w:spacing w:line="240" w:lineRule="auto"/>
              <w:rPr>
                <w:sz w:val="28"/>
                <w:szCs w:val="28"/>
              </w:rPr>
            </w:pPr>
            <w:r>
              <w:rPr>
                <w:rFonts w:ascii="方正黑体_GBK" w:hAnsi="方正黑体_GBK" w:eastAsia="方正黑体_GBK" w:cs="宋体"/>
                <w:b/>
                <w:sz w:val="22"/>
                <w:szCs w:val="22"/>
              </w:rPr>
              <w:t>M2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496FEEA1">
            <w:pPr>
              <w:spacing w:line="240" w:lineRule="auto"/>
              <w:rPr>
                <w:sz w:val="28"/>
                <w:szCs w:val="28"/>
              </w:rPr>
            </w:pPr>
            <w:r>
              <w:rPr>
                <w:rFonts w:ascii="方正黑体_GBK" w:hAnsi="方正黑体_GBK" w:eastAsia="方正黑体_GBK" w:cs="宋体"/>
                <w:b/>
                <w:sz w:val="22"/>
                <w:szCs w:val="22"/>
              </w:rPr>
              <w:t>Q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7B7A6B2E">
            <w:pPr>
              <w:spacing w:line="240" w:lineRule="auto"/>
              <w:rPr>
                <w:sz w:val="28"/>
                <w:szCs w:val="28"/>
              </w:rPr>
            </w:pPr>
            <w:r>
              <w:rPr>
                <w:rFonts w:ascii="方正黑体_GBK" w:hAnsi="方正黑体_GBK" w:eastAsia="方正黑体_GBK" w:cs="宋体"/>
                <w:b/>
                <w:sz w:val="22"/>
                <w:szCs w:val="22"/>
              </w:rPr>
              <w:t>Q1份额：到期兑付时，当期产品投资的实际资产组合收益（扣除销售费、固定管理费、托管费等相关费用）在2.48%（含）（年化，即产品该份额对应的业绩报酬计提基准）至2.73%（不含）之间的部分，管理人将按超过2.48%部分的50%收取业绩报酬；在2.73%（含）（年化，即产品该份额对应的业绩报酬计提基准）以上的部分，管理人将按超过2.73%部分的60%收取业绩报酬。</w:t>
            </w:r>
          </w:p>
          <w:p w14:paraId="0795F5CE">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21BBB62C">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6246C4C4">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7AB5875B">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06713EBB">
            <w:pPr>
              <w:spacing w:line="240" w:lineRule="auto"/>
              <w:rPr>
                <w:sz w:val="28"/>
                <w:szCs w:val="28"/>
              </w:rPr>
            </w:pPr>
            <w:r>
              <w:rPr>
                <w:rFonts w:ascii="方正黑体_GBK" w:hAnsi="方正黑体_GBK" w:eastAsia="方正黑体_GBK" w:cs="宋体"/>
                <w:b/>
                <w:sz w:val="22"/>
                <w:szCs w:val="22"/>
              </w:rPr>
              <w:t>计算本区间业绩报酬的公式如下：</w:t>
            </w:r>
          </w:p>
          <w:p w14:paraId="1C693DF4">
            <w:pPr>
              <w:spacing w:line="240" w:lineRule="auto"/>
              <w:rPr>
                <w:sz w:val="28"/>
                <w:szCs w:val="28"/>
              </w:rPr>
            </w:pPr>
            <w:r>
              <w:rPr>
                <w:rFonts w:ascii="方正黑体_GBK" w:hAnsi="方正黑体_GBK" w:eastAsia="方正黑体_GBK" w:cs="宋体"/>
                <w:b/>
                <w:sz w:val="22"/>
                <w:szCs w:val="22"/>
              </w:rPr>
              <w:t>A={B-C*D*(1+E*F/365)}*G。</w:t>
            </w:r>
          </w:p>
          <w:p w14:paraId="7B5231E0">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34D40FE4">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71088E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1EA00C4D">
            <w:pPr>
              <w:spacing w:line="240" w:lineRule="auto"/>
              <w:rPr>
                <w:sz w:val="28"/>
                <w:szCs w:val="28"/>
              </w:rPr>
            </w:pPr>
            <w:r>
              <w:rPr>
                <w:rFonts w:ascii="方正黑体_GBK" w:hAnsi="方正黑体_GBK" w:eastAsia="方正黑体_GBK" w:cs="宋体"/>
                <w:sz w:val="22"/>
                <w:szCs w:val="22"/>
              </w:rPr>
              <w:t>具体详见本理财产品风险揭示书。</w:t>
            </w:r>
          </w:p>
          <w:p w14:paraId="0F1F7D83">
            <w:pPr>
              <w:spacing w:line="240" w:lineRule="auto"/>
              <w:rPr>
                <w:sz w:val="28"/>
                <w:szCs w:val="28"/>
              </w:rPr>
            </w:pPr>
            <w:r>
              <w:rPr>
                <w:rFonts w:ascii="方正黑体_GBK" w:hAnsi="方正黑体_GBK" w:eastAsia="方正黑体_GBK" w:cs="宋体"/>
                <w:sz w:val="22"/>
                <w:szCs w:val="22"/>
              </w:rPr>
              <w:t>管理人将本着“诚实信用、勤勉尽责”的原则，依据法律法规及产品销售文件约定，对理财产品设立、投资、运作及终止的全过程实施全面风险管理。管理人已建立覆盖风险识别、评估、监测、预警、处置等环节的全面风险管理体系，综合运用投资分散化、准入管理、限额管理、集中度管控、压力测试、合规审查、关联交易公允性管理、业务流程及信息系统控制等手段，对产品可能面临的政策风险、信用风险、市场风险、流动性风险、交易对手风险、利率风险、汇率风险、通货膨胀风险、抵质押物变现风险、理财产品不成立风险、延期分配风险、提前终止风险、信息传递风险、不可抗力及以外事件风险等各类风险（如有）进行管控。</w:t>
            </w:r>
            <w:r>
              <w:rPr>
                <w:rFonts w:ascii="方正黑体_GBK" w:hAnsi="方正黑体_GBK" w:eastAsia="方正黑体_GBK"/>
                <w:sz w:val="28"/>
                <w:szCs w:val="28"/>
              </w:rPr>
              <w:br w:type="textWrapping"/>
            </w:r>
            <w:r>
              <w:rPr>
                <w:rFonts w:ascii="方正黑体_GBK" w:hAnsi="方正黑体_GBK" w:eastAsia="方正黑体_GBK" w:cs="宋体"/>
                <w:sz w:val="22"/>
                <w:szCs w:val="22"/>
              </w:rPr>
              <w:t>管理人上述风险管控措施为管理人基于正常市场环境及合理预期而设，不构成管理人对理财产品风险的完全消除或对理财产品本金安全和理财产品收益的任何承诺与保证。理财产品在实际运作中仍可能因市场、政策、操作、不可抗力等各类因素而遭受超出管理人风险控制措施覆盖范围的风险事件，从而导致理财产品净值波动乃至本金损失。</w:t>
            </w:r>
          </w:p>
        </w:tc>
      </w:tr>
      <w:tr w14:paraId="4BA000E0">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01404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58D3E396">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亿元人民币。住所：江苏省南京市建邺区庐山路242号2号楼14-16层，联系方式：4001195302。</w:t>
            </w:r>
          </w:p>
          <w:p w14:paraId="1BADAE92">
            <w:pPr>
              <w:spacing w:line="240" w:lineRule="auto"/>
              <w:jc w:val="left"/>
              <w:rPr>
                <w:sz w:val="28"/>
                <w:szCs w:val="28"/>
              </w:rPr>
            </w:pPr>
            <w:r>
              <w:rPr>
                <w:rFonts w:ascii="方正黑体_GBK" w:hAnsi="方正黑体_GBK" w:eastAsia="方正黑体_GBK" w:cs="宋体"/>
                <w:sz w:val="22"/>
                <w:szCs w:val="22"/>
              </w:rPr>
              <w:t>管理人主要职责如下：</w:t>
            </w:r>
          </w:p>
          <w:p w14:paraId="7174EE90">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7F311835">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44CFEA72">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45371BB3">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2A7E47A8">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17B567D8">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07155C80">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5396C06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8BB5D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4AA58AE0">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兴业银行股份有限公司、青岛银行股份有限公司、齐商银行股份有限公司、嘉兴银行股份有限公司、江苏常熟农村商业银行股份有限公司、长沙银行股份有限公司、福建海峡银行股份有限公司、秦皇岛银行股份有限公司、泰安银行股份有限公司、宁波东海银行股份有限公司、齐鲁银行股份有限公司、云南红塔银行股份有限公司、九江银行股份有限公司、宁夏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富邦华一银行有限公司、宁波通商银行股份有限公司、日照银行股份有限公司、广州银行股份有限公司、无锡农村商业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盐城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枣庄银行股份有限公司、海南银行股份有限公司、江苏丰县农村商业银行股份有限公司、江苏射阳农村商业银行股份有限公司、江苏句容农村商业银行股份有限公司、烟台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廊坊银行股份有限公司、徽商银行股份有限公司、郑州银行股份有限公司、江苏姜堰农村商业银行股份有限公司、山西银行股份有限公司、江苏如东农村商业银行股份有限公司、北京银行股份有限公司、江苏赣榆农村商业银行股份有限公司、江苏盱眙农村商业银行股份有限公司、东营银行股份有限公司、江苏沛县农村商业银行股份有限公司、潍坊银行股份有限公司、江苏仪征农村商业银行股份有限公司、金华银行股份有限公司、成都银行股份有限公司、湖北银行股份有限公司、吉林银行股份有限公司、连云港东方农村商业银行股份有限公司、德州银行股份有限公司、北京农村商业银行股份有限公司、上海农村商业银行股份有限公司、江苏沭阳农村商业银行股份有限公司、海南农村商业银行股份有限公司、湖州银行股份有限公司、江苏灌云农村商业银行股份有限公司、广州农村商业银行股份有限公司、江苏泰州农村商业银行股份有限公司、朝阳银行股份有限公司。销售机构基本信息详见第五条。</w:t>
            </w:r>
          </w:p>
          <w:p w14:paraId="4A73D787">
            <w:pPr>
              <w:spacing w:line="240" w:lineRule="auto"/>
              <w:jc w:val="left"/>
              <w:rPr>
                <w:sz w:val="28"/>
                <w:szCs w:val="28"/>
              </w:rPr>
            </w:pPr>
            <w:r>
              <w:rPr>
                <w:rFonts w:ascii="方正黑体_GBK" w:hAnsi="方正黑体_GBK" w:eastAsia="方正黑体_GBK" w:cs="宋体"/>
                <w:sz w:val="22"/>
                <w:szCs w:val="22"/>
              </w:rPr>
              <w:t>销售机构主要职责如下：</w:t>
            </w:r>
          </w:p>
          <w:p w14:paraId="2D71C8F4">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41FFE5F1">
            <w:pPr>
              <w:spacing w:line="240" w:lineRule="auto"/>
              <w:jc w:val="left"/>
              <w:rPr>
                <w:sz w:val="28"/>
                <w:szCs w:val="28"/>
              </w:rPr>
            </w:pPr>
            <w:r>
              <w:rPr>
                <w:rFonts w:ascii="方正黑体_GBK" w:hAnsi="方正黑体_GBK" w:eastAsia="方正黑体_GBK" w:cs="宋体"/>
                <w:sz w:val="22"/>
                <w:szCs w:val="22"/>
              </w:rPr>
              <w:t>2.对普通投资者的风险承受能力进行评估，确保投资者风险承受能力评估的客观性、及时性和有效性；</w:t>
            </w:r>
          </w:p>
          <w:p w14:paraId="53B85A12">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4C0DDE30">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31899F17">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5BC9557C">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57A097F6">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DCFB9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263A61B5">
            <w:pPr>
              <w:spacing w:line="240" w:lineRule="auto"/>
              <w:rPr>
                <w:sz w:val="28"/>
                <w:szCs w:val="28"/>
              </w:rPr>
            </w:pPr>
            <w:r>
              <w:rPr>
                <w:rFonts w:ascii="方正黑体_GBK" w:hAnsi="方正黑体_GBK" w:eastAsia="方正黑体_GBK" w:cs="宋体"/>
                <w:sz w:val="22"/>
                <w:szCs w:val="22"/>
              </w:rPr>
              <w:t>本理财产品托管人为南京银行股份有限公司，住所：南京市建邺区江山大街88号，联系方式：95302。</w:t>
            </w:r>
          </w:p>
          <w:p w14:paraId="08B3AD30">
            <w:pPr>
              <w:spacing w:line="240" w:lineRule="auto"/>
              <w:rPr>
                <w:sz w:val="28"/>
                <w:szCs w:val="28"/>
              </w:rPr>
            </w:pPr>
            <w:r>
              <w:rPr>
                <w:rFonts w:ascii="方正黑体_GBK" w:hAnsi="方正黑体_GBK" w:eastAsia="方正黑体_GBK" w:cs="宋体"/>
                <w:sz w:val="22"/>
                <w:szCs w:val="22"/>
              </w:rPr>
              <w:t>主要职责如下：</w:t>
            </w:r>
          </w:p>
          <w:p w14:paraId="65E0D46D">
            <w:pPr>
              <w:spacing w:line="240" w:lineRule="auto"/>
              <w:rPr>
                <w:sz w:val="28"/>
                <w:szCs w:val="28"/>
              </w:rPr>
            </w:pPr>
            <w:r>
              <w:rPr>
                <w:rFonts w:ascii="方正黑体_GBK" w:hAnsi="方正黑体_GBK" w:eastAsia="方正黑体_GBK" w:cs="宋体"/>
                <w:sz w:val="22"/>
                <w:szCs w:val="22"/>
              </w:rPr>
              <w:t>1.安全保管理财产品财产；</w:t>
            </w:r>
          </w:p>
          <w:p w14:paraId="7DE69936">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16C207F9">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3F0FA925">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684F3B00">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157BD9F4">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53EB16A7">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72F0E832">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038CA460">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0DE8290D">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921EC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7CD04EE3">
            <w:pPr>
              <w:spacing w:line="240" w:lineRule="auto"/>
              <w:rPr>
                <w:sz w:val="28"/>
                <w:szCs w:val="28"/>
              </w:rPr>
            </w:pPr>
            <w:r>
              <w:rPr>
                <w:rFonts w:ascii="方正黑体_GBK" w:hAnsi="方正黑体_GBK" w:eastAsia="方正黑体_GBK" w:cs="宋体"/>
                <w:sz w:val="22"/>
                <w:szCs w:val="22"/>
              </w:rPr>
              <w:t>本理财产品合作机构为国联基金管理有限公司、国寿投资保险资产管理有限公司、国投泰康信托有限公司、华能贵诚信托有限公司、华鑫国际信托有限公司、建信信托有限责任公司、江苏省国际信托有限责任公司、上海国际信托有限公司、天津信托有限责任公司、西部信托有限公司、云南国际信托有限公司、中国对外经济贸易信托有限公司、中粮信托有限责任公司、中信信托有限责任公司、鑫元基金管理有限公司，上述投资合作机构主要职责对应如下，具体职责以管理人与投资合作机构签署的合同为准。</w:t>
            </w:r>
          </w:p>
          <w:p w14:paraId="279316CB">
            <w:pPr>
              <w:spacing w:line="240" w:lineRule="auto"/>
              <w:rPr>
                <w:sz w:val="28"/>
                <w:szCs w:val="28"/>
              </w:rPr>
            </w:pPr>
            <w:r>
              <w:rPr>
                <w:rFonts w:ascii="方正黑体_GBK" w:hAnsi="方正黑体_GBK" w:eastAsia="方正黑体_GBK" w:cs="宋体"/>
                <w:sz w:val="22"/>
                <w:szCs w:val="22"/>
              </w:rPr>
              <w:t>合作机构为从事理财产品受托投资的机构，主要承担根据合同约定进行受托资金的投资管理的职责：国联基金管理有限公司、国寿投资保险资产管理有限公司、国投泰康信托有限公司、华能贵诚信托有限公司、华鑫国际信托有限公司、建信信托有限责任公司、江苏省国际信托有限责任公司、上海国际信托有限公司、天津信托有限责任公司、西部信托有限公司、云南国际信托有限公司、中国对外经济贸易信托有限公司、中粮信托有限责任公司、中信信托有限责任公司、鑫元基金管理有限公司。</w:t>
            </w:r>
          </w:p>
          <w:p w14:paraId="46C47207">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12138D93">
            <w:pPr>
              <w:spacing w:line="240" w:lineRule="auto"/>
              <w:rPr>
                <w:sz w:val="28"/>
                <w:szCs w:val="28"/>
              </w:rPr>
            </w:pPr>
            <w:r>
              <w:rPr>
                <w:rFonts w:ascii="方正黑体_GBK" w:hAnsi="方正黑体_GBK" w:eastAsia="方正黑体_GBK" w:cs="宋体"/>
                <w:sz w:val="22"/>
                <w:szCs w:val="22"/>
              </w:rPr>
              <w:t>上述投资合作机构简介：</w:t>
            </w:r>
          </w:p>
          <w:p w14:paraId="3F51891E">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6345B607">
            <w:pPr>
              <w:spacing w:line="240" w:lineRule="auto"/>
              <w:rPr>
                <w:sz w:val="28"/>
                <w:szCs w:val="28"/>
              </w:rPr>
            </w:pPr>
            <w:r>
              <w:rPr>
                <w:rFonts w:ascii="方正黑体_GBK" w:hAnsi="方正黑体_GBK" w:eastAsia="方正黑体_GBK" w:cs="宋体"/>
                <w:sz w:val="22"/>
                <w:szCs w:val="22"/>
              </w:rPr>
              <w:t>国寿投资保险资产管理有限公司成立于1994年06月01日，注册资本金 370000万元。</w:t>
            </w:r>
          </w:p>
          <w:p w14:paraId="1F6DDF4A">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2B1F3957">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2357D4F6">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6E5211E4">
            <w:pPr>
              <w:spacing w:line="240" w:lineRule="auto"/>
              <w:rPr>
                <w:sz w:val="28"/>
                <w:szCs w:val="28"/>
              </w:rPr>
            </w:pPr>
            <w:r>
              <w:rPr>
                <w:rFonts w:ascii="方正黑体_GBK" w:hAnsi="方正黑体_GBK" w:eastAsia="方正黑体_GBK" w:cs="宋体"/>
                <w:sz w:val="22"/>
                <w:szCs w:val="22"/>
              </w:rPr>
              <w:t>建信信托有限责任公司成立于2003年12月31日，注册资本金105亿元。</w:t>
            </w:r>
          </w:p>
          <w:p w14:paraId="1FA3AB42">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7E6F6736">
            <w:pPr>
              <w:spacing w:line="240" w:lineRule="auto"/>
              <w:rPr>
                <w:sz w:val="28"/>
                <w:szCs w:val="28"/>
              </w:rPr>
            </w:pPr>
            <w:r>
              <w:rPr>
                <w:rFonts w:ascii="方正黑体_GBK" w:hAnsi="方正黑体_GBK" w:eastAsia="方正黑体_GBK" w:cs="宋体"/>
                <w:sz w:val="22"/>
                <w:szCs w:val="22"/>
              </w:rPr>
              <w:t>上海国际信托有限公司成立于1981年05月06日，注册资本金50亿元。</w:t>
            </w:r>
          </w:p>
          <w:p w14:paraId="6D5B33DD">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26D0AE57">
            <w:pPr>
              <w:spacing w:line="240" w:lineRule="auto"/>
              <w:rPr>
                <w:sz w:val="28"/>
                <w:szCs w:val="28"/>
              </w:rPr>
            </w:pPr>
            <w:r>
              <w:rPr>
                <w:rFonts w:ascii="方正黑体_GBK" w:hAnsi="方正黑体_GBK" w:eastAsia="方正黑体_GBK" w:cs="宋体"/>
                <w:sz w:val="22"/>
                <w:szCs w:val="22"/>
              </w:rPr>
              <w:t>西部信托有限公司成立于2002年07月18日，注册资本金20亿元。</w:t>
            </w:r>
          </w:p>
          <w:p w14:paraId="79C75623">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0BE26A15">
            <w:pPr>
              <w:spacing w:line="240" w:lineRule="auto"/>
              <w:rPr>
                <w:sz w:val="28"/>
                <w:szCs w:val="28"/>
              </w:rPr>
            </w:pPr>
            <w:r>
              <w:rPr>
                <w:rFonts w:ascii="方正黑体_GBK" w:hAnsi="方正黑体_GBK" w:eastAsia="方正黑体_GBK" w:cs="宋体"/>
                <w:sz w:val="22"/>
                <w:szCs w:val="22"/>
              </w:rPr>
              <w:t>中国对外经济贸易信托有限公司成立于1987年09月30日，注册资本金800000万元人民币。</w:t>
            </w:r>
          </w:p>
          <w:p w14:paraId="440786FD">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6F06C11E">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52F01E81">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6159E6AB">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EFE79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68EDC758">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754AC880">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36056AE7">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7EF174C7">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7D3E0496">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5C502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689FED14">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税费（如：增值税及附加税费等）由管理人作为纳税人进行缴纳，相关税款由理财产品财产承担。除法律法规特别要求外，投资者应缴纳的税收由投资者负责，管理人不负责代扣代缴。</w:t>
            </w:r>
          </w:p>
        </w:tc>
      </w:tr>
    </w:tbl>
    <w:p w14:paraId="38B420A8">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73841B66">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79CD4D4B">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18D0829A">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69C3D5A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3777B6DC">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6244459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159A5BC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258752D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3EE3911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0AF724A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 xml:space="preserve"> 7.专业投资者：根据监管规定，指符合下列条件之一的投资者：</w:t>
      </w:r>
    </w:p>
    <w:p w14:paraId="6947E70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w:t>
      </w:r>
      <w:r>
        <w:rPr>
          <w:rFonts w:ascii="方正黑体_GBK" w:hAnsi="方正黑体_GBK" w:eastAsia="方正黑体_GBK"/>
          <w:color w:val="3D3D3D"/>
          <w:kern w:val="0"/>
          <w:sz w:val="20"/>
          <w:szCs w:val="20"/>
        </w:rPr>
        <w:t>1</w:t>
      </w:r>
      <w:r>
        <w:rPr>
          <w:rFonts w:hint="eastAsia" w:ascii="方正黑体_GBK" w:hAnsi="方正黑体_GBK" w:eastAsia="方正黑体_GBK"/>
          <w:color w:val="3D3D3D"/>
          <w:kern w:val="0"/>
          <w:sz w:val="20"/>
          <w:szCs w:val="20"/>
        </w:rPr>
        <w:t>）银行业金融机构、保险业金融机构、金融控股公司、证券基金期货经营机构、私募基金管理人；</w:t>
      </w:r>
    </w:p>
    <w:p w14:paraId="77A65DE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w:t>
      </w:r>
      <w:r>
        <w:rPr>
          <w:rFonts w:ascii="方正黑体_GBK" w:hAnsi="方正黑体_GBK" w:eastAsia="方正黑体_GBK"/>
          <w:color w:val="3D3D3D"/>
          <w:kern w:val="0"/>
          <w:sz w:val="20"/>
          <w:szCs w:val="20"/>
        </w:rPr>
        <w:t>2</w:t>
      </w:r>
      <w:r>
        <w:rPr>
          <w:rFonts w:hint="eastAsia" w:ascii="方正黑体_GBK" w:hAnsi="方正黑体_GBK" w:eastAsia="方正黑体_GBK"/>
          <w:color w:val="3D3D3D"/>
          <w:kern w:val="0"/>
          <w:sz w:val="20"/>
          <w:szCs w:val="20"/>
        </w:rPr>
        <w:t>）上述机构面向投资者发行的金融产品，信托公司管理的资产服务信托、公益慈善信托；</w:t>
      </w:r>
    </w:p>
    <w:p w14:paraId="3E2344B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w:t>
      </w:r>
      <w:r>
        <w:rPr>
          <w:rFonts w:ascii="方正黑体_GBK" w:hAnsi="方正黑体_GBK" w:eastAsia="方正黑体_GBK"/>
          <w:color w:val="3D3D3D"/>
          <w:kern w:val="0"/>
          <w:sz w:val="20"/>
          <w:szCs w:val="20"/>
        </w:rPr>
        <w:t>3</w:t>
      </w:r>
      <w:r>
        <w:rPr>
          <w:rFonts w:hint="eastAsia" w:ascii="方正黑体_GBK" w:hAnsi="方正黑体_GBK" w:eastAsia="方正黑体_GBK"/>
          <w:color w:val="3D3D3D"/>
          <w:kern w:val="0"/>
          <w:sz w:val="20"/>
          <w:szCs w:val="20"/>
        </w:rPr>
        <w:t>）社会保障基金、企业年金、职业年金等养老基金，慈善基金等社会公益基金，合格境外机构投资者（</w:t>
      </w:r>
      <w:r>
        <w:rPr>
          <w:rFonts w:ascii="方正黑体_GBK" w:hAnsi="方正黑体_GBK" w:eastAsia="方正黑体_GBK"/>
          <w:color w:val="3D3D3D"/>
          <w:kern w:val="0"/>
          <w:sz w:val="20"/>
          <w:szCs w:val="20"/>
        </w:rPr>
        <w:t>QFII</w:t>
      </w:r>
      <w:r>
        <w:rPr>
          <w:rFonts w:hint="eastAsia" w:ascii="方正黑体_GBK" w:hAnsi="方正黑体_GBK" w:eastAsia="方正黑体_GBK"/>
          <w:color w:val="3D3D3D"/>
          <w:kern w:val="0"/>
          <w:sz w:val="20"/>
          <w:szCs w:val="20"/>
        </w:rPr>
        <w:t>）、人民币合格境外机构投资者（</w:t>
      </w:r>
      <w:r>
        <w:rPr>
          <w:rFonts w:ascii="方正黑体_GBK" w:hAnsi="方正黑体_GBK" w:eastAsia="方正黑体_GBK"/>
          <w:color w:val="3D3D3D"/>
          <w:kern w:val="0"/>
          <w:sz w:val="20"/>
          <w:szCs w:val="20"/>
        </w:rPr>
        <w:t>RQFII</w:t>
      </w:r>
      <w:r>
        <w:rPr>
          <w:rFonts w:hint="eastAsia" w:ascii="方正黑体_GBK" w:hAnsi="方正黑体_GBK" w:eastAsia="方正黑体_GBK"/>
          <w:color w:val="3D3D3D"/>
          <w:kern w:val="0"/>
          <w:sz w:val="20"/>
          <w:szCs w:val="20"/>
        </w:rPr>
        <w:t>）。</w:t>
      </w:r>
    </w:p>
    <w:p w14:paraId="60675B4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lang w:val="en-US" w:eastAsia="zh-CN"/>
        </w:rPr>
        <w:t xml:space="preserve"> 8.普通投资者：专业投资者之外的投资者为普通投资者</w:t>
      </w:r>
    </w:p>
    <w:p w14:paraId="745222F7">
      <w:pPr>
        <w:pStyle w:val="44"/>
        <w:keepNext w:val="0"/>
        <w:keepLines w:val="0"/>
        <w:pageBreakBefore w:val="0"/>
        <w:widowControl/>
        <w:numPr>
          <w:ilvl w:val="0"/>
          <w:numId w:val="1"/>
        </w:numPr>
        <w:suppressLineNumbers w:val="0"/>
        <w:suppressAutoHyphens w:val="0"/>
        <w:spacing w:line="240" w:lineRule="auto"/>
        <w:ind w:left="0" w:firstLine="289"/>
        <w:outlineLvl w:val="1"/>
        <w:rPr>
          <w:rFonts w:hint="eastAsia" w:ascii="方正黑体_GBK" w:hAnsi="方正黑体_GBK" w:eastAsia="方正黑体_GBK"/>
          <w:color w:val="3D3D3D"/>
          <w:kern w:val="0"/>
          <w:sz w:val="20"/>
          <w:szCs w:val="20"/>
        </w:rPr>
      </w:pPr>
      <w:r>
        <w:rPr>
          <w:rFonts w:hint="eastAsia" w:ascii="方正黑体_GBK" w:hAnsi="方正黑体_GBK" w:eastAsia="方正黑体_GBK"/>
          <w:color w:val="3D3D3D"/>
          <w:kern w:val="0"/>
          <w:sz w:val="20"/>
          <w:szCs w:val="20"/>
        </w:rPr>
        <w:t>法律文件用语</w:t>
      </w:r>
    </w:p>
    <w:p w14:paraId="2F386FF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r>
        <w:rPr>
          <w:rFonts w:hint="eastAsia" w:ascii="方正黑体_GBK" w:hAnsi="方正黑体_GBK" w:eastAsia="方正黑体_GBK" w:cs="Times New Roman"/>
          <w:color w:val="3D3D3D"/>
          <w:sz w:val="20"/>
          <w:szCs w:val="20"/>
          <w:lang w:val="en-US" w:eastAsia="zh-CN"/>
        </w:rPr>
        <w:t>，具体名称及内容以销售机构为准</w:t>
      </w:r>
      <w:r>
        <w:rPr>
          <w:rFonts w:ascii="方正黑体_GBK" w:hAnsi="方正黑体_GBK" w:eastAsia="方正黑体_GBK"/>
          <w:color w:val="3D3D3D"/>
          <w:kern w:val="0"/>
          <w:sz w:val="20"/>
          <w:szCs w:val="20"/>
          <w:highlight w:val="none"/>
        </w:rPr>
        <w:t>。</w:t>
      </w:r>
    </w:p>
    <w:p w14:paraId="20FC2B7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3866A08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4CFD14C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r>
        <w:rPr>
          <w:rFonts w:hint="eastAsia" w:ascii="方正黑体_GBK" w:hAnsi="方正黑体_GBK" w:eastAsia="方正黑体_GBK" w:cs="Times New Roman"/>
          <w:color w:val="3D3D3D"/>
          <w:sz w:val="20"/>
          <w:szCs w:val="20"/>
          <w:lang w:val="en-US" w:eastAsia="zh-CN"/>
        </w:rPr>
        <w:t>，具体名称及内容以销售机构为准</w:t>
      </w:r>
      <w:r>
        <w:rPr>
          <w:rFonts w:ascii="方正黑体_GBK" w:hAnsi="方正黑体_GBK" w:eastAsia="方正黑体_GBK"/>
          <w:color w:val="3D3D3D"/>
          <w:kern w:val="0"/>
          <w:sz w:val="20"/>
          <w:szCs w:val="20"/>
          <w:highlight w:val="none"/>
        </w:rPr>
        <w:t>。</w:t>
      </w:r>
    </w:p>
    <w:p w14:paraId="7BEF826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25DEA0A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3B268D7D">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1F15527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7132BD7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4211B10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661C66E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5C5FAE0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74DFE3A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6509CF0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562F9E1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55793FC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131D65C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3741066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4915045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14D2E3F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689B060A">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582B944F">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南银理财珠联璧合鑫逸稳一年301期封闭式公募人民币理财产品</w:t>
      </w:r>
      <w:r>
        <w:rPr>
          <w:rFonts w:hint="eastAsia" w:ascii="方正黑体_GBK" w:hAnsi="方正黑体_GBK" w:eastAsia="方正黑体_GBK"/>
          <w:vanish w:val="0"/>
          <w:color w:val="3D3D3D"/>
          <w:kern w:val="0"/>
          <w:sz w:val="20"/>
          <w:szCs w:val="20"/>
        </w:rPr>
        <w:t>。</w:t>
      </w:r>
    </w:p>
    <w:p w14:paraId="7E2763C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7295350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4A734A3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26CFFBC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2B5CA395">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3E80B2F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6D3985A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0141AE5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570A54C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282673F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41C5FE3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673AACB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3BE26A3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77EEB81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3E0C559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305291B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5FFE84C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39630D85">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3E347CAE">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37C1A725">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26693220">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0FFE04E4">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5C98945C">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421B199A">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或全球金融外汇市场发生致使无法进行货币兑换、划转等的异常变化；</w:t>
      </w:r>
    </w:p>
    <w:p w14:paraId="2792E437">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7536E464">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7A2F2790">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62F16910">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2801315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49FEBF55">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551CF5B0">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49B8C563">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0EF413F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58663312">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547BF64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5F1BDD6D">
      <w:pPr>
        <w:spacing w:line="240" w:lineRule="auto"/>
        <w:ind w:firstLine="300"/>
        <w:jc w:val="both"/>
        <w:rPr>
          <w:sz w:val="28"/>
          <w:szCs w:val="28"/>
        </w:rPr>
      </w:pPr>
      <w:r>
        <w:rPr>
          <w:rFonts w:ascii="方正黑体_GBK" w:hAnsi="方正黑体_GBK" w:eastAsia="方正黑体_GBK" w:cs="宋体"/>
          <w:sz w:val="20"/>
          <w:szCs w:val="24"/>
        </w:rPr>
        <w:t>（一）估值日</w:t>
      </w:r>
    </w:p>
    <w:p w14:paraId="18C4D7D2">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4318923D">
      <w:pPr>
        <w:spacing w:line="240" w:lineRule="auto"/>
        <w:ind w:firstLine="300"/>
        <w:jc w:val="both"/>
        <w:rPr>
          <w:sz w:val="28"/>
          <w:szCs w:val="28"/>
        </w:rPr>
      </w:pPr>
      <w:r>
        <w:rPr>
          <w:rFonts w:ascii="方正黑体_GBK" w:hAnsi="方正黑体_GBK" w:eastAsia="方正黑体_GBK" w:cs="宋体"/>
          <w:sz w:val="20"/>
          <w:szCs w:val="24"/>
        </w:rPr>
        <w:t>（二）估值对象</w:t>
      </w:r>
    </w:p>
    <w:p w14:paraId="72C590F9">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0DDB664F">
      <w:pPr>
        <w:spacing w:line="240" w:lineRule="auto"/>
        <w:ind w:firstLine="300"/>
        <w:jc w:val="both"/>
        <w:rPr>
          <w:sz w:val="28"/>
          <w:szCs w:val="28"/>
        </w:rPr>
      </w:pPr>
      <w:r>
        <w:rPr>
          <w:rFonts w:ascii="方正黑体_GBK" w:hAnsi="方正黑体_GBK" w:eastAsia="方正黑体_GBK" w:cs="宋体"/>
          <w:sz w:val="20"/>
          <w:szCs w:val="24"/>
        </w:rPr>
        <w:t>（三）估值目的</w:t>
      </w:r>
    </w:p>
    <w:p w14:paraId="6C543A8C">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3CC8B84E">
      <w:pPr>
        <w:spacing w:line="240" w:lineRule="auto"/>
        <w:ind w:firstLine="300"/>
        <w:jc w:val="both"/>
        <w:rPr>
          <w:sz w:val="28"/>
          <w:szCs w:val="28"/>
        </w:rPr>
      </w:pPr>
      <w:r>
        <w:rPr>
          <w:rFonts w:ascii="方正黑体_GBK" w:hAnsi="方正黑体_GBK" w:eastAsia="方正黑体_GBK" w:cs="宋体"/>
          <w:sz w:val="20"/>
          <w:szCs w:val="24"/>
        </w:rPr>
        <w:t>（四）估值原则</w:t>
      </w:r>
    </w:p>
    <w:p w14:paraId="09A2459F">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35EE4B8F">
      <w:pPr>
        <w:spacing w:line="240" w:lineRule="auto"/>
        <w:ind w:firstLine="300"/>
        <w:jc w:val="both"/>
        <w:rPr>
          <w:sz w:val="28"/>
          <w:szCs w:val="28"/>
        </w:rPr>
      </w:pPr>
      <w:r>
        <w:rPr>
          <w:rFonts w:ascii="方正黑体_GBK" w:hAnsi="方正黑体_GBK" w:eastAsia="方正黑体_GBK" w:cs="宋体"/>
          <w:sz w:val="20"/>
          <w:szCs w:val="24"/>
        </w:rPr>
        <w:t>（五）估值方法</w:t>
      </w:r>
    </w:p>
    <w:p w14:paraId="02BB3B07">
      <w:pPr>
        <w:spacing w:line="240" w:lineRule="auto"/>
        <w:ind w:firstLine="440"/>
        <w:rPr>
          <w:sz w:val="28"/>
          <w:szCs w:val="28"/>
        </w:rPr>
      </w:pPr>
      <w:r>
        <w:rPr>
          <w:rFonts w:ascii="方正黑体_GBK" w:hAnsi="方正黑体_GBK" w:eastAsia="方正黑体_GBK" w:cs="宋体"/>
          <w:sz w:val="22"/>
          <w:szCs w:val="24"/>
        </w:rPr>
        <w:t>估值方法中列示的资产品种不代表管理人的实际投向，本理财产品拟投资范围以“投资范围”章节描述为准。</w:t>
      </w:r>
    </w:p>
    <w:p w14:paraId="7A6B2906">
      <w:pPr>
        <w:spacing w:line="240" w:lineRule="auto"/>
        <w:ind w:firstLine="440"/>
        <w:rPr>
          <w:sz w:val="28"/>
          <w:szCs w:val="28"/>
        </w:rPr>
      </w:pPr>
      <w:r>
        <w:rPr>
          <w:rFonts w:ascii="方正黑体_GBK" w:hAnsi="方正黑体_GBK" w:eastAsia="方正黑体_GBK" w:cs="宋体"/>
          <w:sz w:val="22"/>
          <w:szCs w:val="24"/>
        </w:rPr>
        <w:t>1.银行存款、回购等货币市场工具</w:t>
      </w:r>
    </w:p>
    <w:p w14:paraId="23EE5BDE">
      <w:pPr>
        <w:spacing w:line="240" w:lineRule="auto"/>
        <w:ind w:firstLine="440"/>
        <w:rPr>
          <w:sz w:val="28"/>
          <w:szCs w:val="28"/>
        </w:rPr>
      </w:pPr>
      <w:r>
        <w:rPr>
          <w:rFonts w:ascii="方正黑体_GBK" w:hAnsi="方正黑体_GBK" w:eastAsia="方正黑体_GBK" w:cs="宋体"/>
          <w:sz w:val="22"/>
          <w:szCs w:val="24"/>
        </w:rPr>
        <w:t>以本金列示，逐日计提利息。</w:t>
      </w:r>
    </w:p>
    <w:p w14:paraId="3856379C">
      <w:pPr>
        <w:spacing w:line="240" w:lineRule="auto"/>
        <w:ind w:firstLine="440"/>
        <w:rPr>
          <w:sz w:val="28"/>
          <w:szCs w:val="28"/>
        </w:rPr>
      </w:pPr>
      <w:r>
        <w:rPr>
          <w:rFonts w:ascii="方正黑体_GBK" w:hAnsi="方正黑体_GBK" w:eastAsia="方正黑体_GBK" w:cs="宋体"/>
          <w:sz w:val="22"/>
          <w:szCs w:val="24"/>
        </w:rPr>
        <w:t>2.债券类资产</w:t>
      </w:r>
    </w:p>
    <w:p w14:paraId="672BB44E">
      <w:pPr>
        <w:spacing w:line="240" w:lineRule="auto"/>
        <w:ind w:firstLine="440"/>
        <w:rPr>
          <w:sz w:val="28"/>
          <w:szCs w:val="28"/>
        </w:rPr>
      </w:pPr>
      <w:r>
        <w:rPr>
          <w:rFonts w:ascii="方正黑体_GBK" w:hAnsi="方正黑体_GBK" w:eastAsia="方正黑体_GBK" w:cs="宋体"/>
          <w:sz w:val="22"/>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562E9274">
      <w:pPr>
        <w:spacing w:line="240" w:lineRule="auto"/>
        <w:ind w:firstLine="440"/>
        <w:rPr>
          <w:sz w:val="28"/>
          <w:szCs w:val="28"/>
        </w:rPr>
      </w:pPr>
      <w:r>
        <w:rPr>
          <w:rFonts w:ascii="方正黑体_GBK" w:hAnsi="方正黑体_GBK" w:eastAsia="方正黑体_GBK" w:cs="宋体"/>
          <w:sz w:val="22"/>
          <w:szCs w:val="24"/>
        </w:rPr>
        <w:t>3.非标准化债权类资产</w:t>
      </w:r>
    </w:p>
    <w:p w14:paraId="628F98EB">
      <w:pPr>
        <w:spacing w:line="240" w:lineRule="auto"/>
        <w:ind w:firstLine="440"/>
        <w:rPr>
          <w:sz w:val="28"/>
          <w:szCs w:val="28"/>
        </w:rPr>
      </w:pPr>
      <w:r>
        <w:rPr>
          <w:rFonts w:ascii="方正黑体_GBK" w:hAnsi="方正黑体_GBK" w:eastAsia="方正黑体_GBK" w:cs="宋体"/>
          <w:sz w:val="22"/>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1A40E508">
      <w:pPr>
        <w:spacing w:line="240" w:lineRule="auto"/>
        <w:ind w:firstLine="440"/>
        <w:rPr>
          <w:sz w:val="28"/>
          <w:szCs w:val="28"/>
        </w:rPr>
      </w:pPr>
      <w:r>
        <w:rPr>
          <w:rFonts w:ascii="方正黑体_GBK" w:hAnsi="方正黑体_GBK" w:eastAsia="方正黑体_GBK" w:cs="宋体"/>
          <w:sz w:val="22"/>
          <w:szCs w:val="24"/>
        </w:rPr>
        <w:t>4.证券投资基金、资管计划、信托计划等资产</w:t>
      </w:r>
    </w:p>
    <w:p w14:paraId="0A681AA4">
      <w:pPr>
        <w:spacing w:line="240" w:lineRule="auto"/>
        <w:ind w:firstLine="440"/>
        <w:rPr>
          <w:sz w:val="28"/>
          <w:szCs w:val="28"/>
        </w:rPr>
      </w:pPr>
      <w:r>
        <w:rPr>
          <w:rFonts w:ascii="方正黑体_GBK" w:hAnsi="方正黑体_GBK" w:eastAsia="方正黑体_GBK" w:cs="宋体"/>
          <w:sz w:val="22"/>
          <w:szCs w:val="24"/>
        </w:rPr>
        <w:t>按照公允价值估值，优先采用市值法估值。管理人将根据监管要求进行穿透管理，资管产品穿透后与理财公司关于同一投资品种的估值原则、政策、技术和方法等一致。</w:t>
      </w:r>
    </w:p>
    <w:p w14:paraId="0BDEA6A0">
      <w:pPr>
        <w:spacing w:line="240" w:lineRule="auto"/>
        <w:ind w:firstLine="440"/>
        <w:rPr>
          <w:sz w:val="28"/>
          <w:szCs w:val="28"/>
        </w:rPr>
      </w:pPr>
      <w:r>
        <w:rPr>
          <w:rFonts w:ascii="方正黑体_GBK" w:hAnsi="方正黑体_GBK" w:eastAsia="方正黑体_GBK" w:cs="宋体"/>
          <w:sz w:val="22"/>
          <w:szCs w:val="24"/>
        </w:rPr>
        <w:t>5.股权类及其他资产</w:t>
      </w:r>
    </w:p>
    <w:p w14:paraId="7415F575">
      <w:pPr>
        <w:spacing w:line="240" w:lineRule="auto"/>
        <w:ind w:firstLine="440"/>
        <w:rPr>
          <w:sz w:val="28"/>
          <w:szCs w:val="28"/>
        </w:rPr>
      </w:pPr>
      <w:r>
        <w:rPr>
          <w:rFonts w:ascii="方正黑体_GBK" w:hAnsi="方正黑体_GBK" w:eastAsia="方正黑体_GBK" w:cs="宋体"/>
          <w:sz w:val="22"/>
          <w:szCs w:val="24"/>
        </w:rPr>
        <w:t>按照公允价值估值，优先采用市值法估值。</w:t>
      </w:r>
    </w:p>
    <w:p w14:paraId="174190C3">
      <w:pPr>
        <w:spacing w:line="240" w:lineRule="auto"/>
        <w:ind w:firstLine="440"/>
        <w:rPr>
          <w:sz w:val="28"/>
          <w:szCs w:val="28"/>
        </w:rPr>
      </w:pPr>
      <w:r>
        <w:rPr>
          <w:rFonts w:ascii="方正黑体_GBK" w:hAnsi="方正黑体_GBK" w:eastAsia="方正黑体_GBK" w:cs="宋体"/>
          <w:sz w:val="22"/>
          <w:szCs w:val="24"/>
        </w:rPr>
        <w:t>6.如有新增事项或变更事项，按国家最新规定或监管最新要求进行调整。</w:t>
      </w:r>
    </w:p>
    <w:p w14:paraId="3615253B">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49BF602E">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5BDAEE13">
      <w:pPr>
        <w:pStyle w:val="29"/>
        <w:pBdr>
          <w:top w:val="none" w:color="auto" w:sz="0" w:space="0"/>
          <w:left w:val="none" w:color="auto" w:sz="0" w:space="0"/>
          <w:bottom w:val="none" w:color="auto" w:sz="0" w:space="0"/>
          <w:right w:val="none" w:color="auto" w:sz="0" w:space="0"/>
        </w:pBdr>
        <w:spacing w:line="240" w:lineRule="auto"/>
        <w:rPr>
          <w:rFonts w:hint="eastAsia" w:ascii="方正黑体_GBK" w:hAnsi="方正黑体_GBK" w:eastAsia="方正黑体_GBK" w:cs="宋体"/>
          <w:b/>
          <w:bCs/>
          <w:vanish w:val="0"/>
          <w:sz w:val="20"/>
          <w:szCs w:val="20"/>
        </w:rPr>
      </w:pPr>
      <w:r>
        <w:rPr>
          <w:rFonts w:hint="eastAsia" w:ascii="方正黑体_GBK" w:hAnsi="方正黑体_GBK" w:eastAsia="方正黑体_GBK" w:cs="宋体"/>
          <w:b/>
          <w:bCs/>
          <w:vanish w:val="0"/>
          <w:sz w:val="20"/>
          <w:szCs w:val="20"/>
        </w:rPr>
        <w:t>第五条 主体机构</w:t>
      </w:r>
    </w:p>
    <w:p w14:paraId="2841C4FE">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（一）销售机构基本信息</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857"/>
        <w:gridCol w:w="3676"/>
        <w:gridCol w:w="2544"/>
      </w:tblGrid>
      <w:tr w14:paraId="7CC75A2F">
        <w:trPr>
          <w:trHeight w:val="300" w:hRule="atLeast"/>
        </w:trPr>
        <w:tc>
          <w:tcPr>
            <w:tcW w:w="2100" w:type="dxa"/>
            <w:tcMar>
              <w:left w:w="120" w:type="dxa"/>
            </w:tcMar>
            <w:vAlign w:val="center"/>
          </w:tcPr>
          <w:p w14:paraId="6BDFC9B0">
            <w:pPr>
              <w:spacing w:line="240" w:lineRule="auto"/>
              <w:rPr>
                <w:sz w:val="28"/>
                <w:szCs w:val="28"/>
              </w:rPr>
            </w:pPr>
            <w:r>
              <w:rPr>
                <w:rFonts w:ascii="方正黑体_GBK" w:hAnsi="方正黑体_GBK" w:eastAsia="方正黑体_GBK" w:cs="宋体"/>
                <w:b/>
                <w:sz w:val="20"/>
                <w:szCs w:val="24"/>
              </w:rPr>
              <w:t>销售机构名称</w:t>
            </w:r>
          </w:p>
        </w:tc>
        <w:tc>
          <w:tcPr>
            <w:tcW w:w="4050" w:type="dxa"/>
            <w:tcMar>
              <w:left w:w="120" w:type="dxa"/>
            </w:tcMar>
            <w:vAlign w:val="center"/>
          </w:tcPr>
          <w:p w14:paraId="0052DB1A">
            <w:pPr>
              <w:spacing w:line="240" w:lineRule="auto"/>
              <w:rPr>
                <w:sz w:val="28"/>
                <w:szCs w:val="28"/>
              </w:rPr>
            </w:pPr>
            <w:r>
              <w:rPr>
                <w:rFonts w:ascii="方正黑体_GBK" w:hAnsi="方正黑体_GBK" w:eastAsia="方正黑体_GBK" w:cs="宋体"/>
                <w:b/>
                <w:sz w:val="20"/>
                <w:szCs w:val="24"/>
              </w:rPr>
              <w:t>住所</w:t>
            </w:r>
          </w:p>
        </w:tc>
        <w:tc>
          <w:tcPr>
            <w:tcW w:w="1350" w:type="dxa"/>
            <w:tcMar>
              <w:left w:w="120" w:type="dxa"/>
            </w:tcMar>
            <w:vAlign w:val="center"/>
          </w:tcPr>
          <w:p w14:paraId="2775BD69">
            <w:pPr>
              <w:spacing w:line="240" w:lineRule="auto"/>
              <w:rPr>
                <w:sz w:val="28"/>
                <w:szCs w:val="28"/>
              </w:rPr>
            </w:pPr>
            <w:r>
              <w:rPr>
                <w:rFonts w:ascii="方正黑体_GBK" w:hAnsi="方正黑体_GBK" w:eastAsia="方正黑体_GBK" w:cs="宋体"/>
                <w:b/>
                <w:sz w:val="20"/>
                <w:szCs w:val="24"/>
              </w:rPr>
              <w:t>联系方式</w:t>
            </w:r>
          </w:p>
        </w:tc>
      </w:tr>
      <w:tr w14:paraId="43438B74">
        <w:trPr>
          <w:trHeight w:val="300" w:hRule="atLeast"/>
        </w:trPr>
        <w:tc>
          <w:tcPr>
            <w:tcW w:w="2100" w:type="dxa"/>
            <w:tcMar>
              <w:left w:w="120" w:type="dxa"/>
            </w:tcMar>
            <w:vAlign w:val="center"/>
          </w:tcPr>
          <w:p w14:paraId="5EBC4B0F">
            <w:pPr>
              <w:spacing w:line="240" w:lineRule="auto"/>
              <w:rPr>
                <w:sz w:val="28"/>
                <w:szCs w:val="28"/>
              </w:rPr>
            </w:pPr>
            <w:r>
              <w:rPr>
                <w:rFonts w:ascii="方正黑体_GBK" w:hAnsi="方正黑体_GBK" w:eastAsia="方正黑体_GBK" w:cs="宋体"/>
                <w:sz w:val="20"/>
                <w:szCs w:val="24"/>
              </w:rPr>
              <w:t>南银理财有限责任公司</w:t>
            </w:r>
          </w:p>
        </w:tc>
        <w:tc>
          <w:tcPr>
            <w:tcW w:w="4050" w:type="dxa"/>
            <w:tcMar>
              <w:left w:w="120" w:type="dxa"/>
            </w:tcMar>
            <w:vAlign w:val="center"/>
          </w:tcPr>
          <w:p w14:paraId="62FD5804">
            <w:pPr>
              <w:spacing w:line="240" w:lineRule="auto"/>
              <w:rPr>
                <w:sz w:val="28"/>
                <w:szCs w:val="28"/>
              </w:rPr>
            </w:pPr>
            <w:r>
              <w:rPr>
                <w:rFonts w:ascii="方正黑体_GBK" w:hAnsi="方正黑体_GBK" w:eastAsia="方正黑体_GBK" w:cs="宋体"/>
                <w:sz w:val="20"/>
                <w:szCs w:val="24"/>
              </w:rPr>
              <w:t>江苏省南京市建邺区庐山路242号2号楼14-16层</w:t>
            </w:r>
          </w:p>
        </w:tc>
        <w:tc>
          <w:tcPr>
            <w:tcW w:w="1350" w:type="dxa"/>
            <w:tcMar>
              <w:left w:w="120" w:type="dxa"/>
            </w:tcMar>
            <w:vAlign w:val="center"/>
          </w:tcPr>
          <w:p w14:paraId="39E3D3D6">
            <w:pPr>
              <w:spacing w:line="240" w:lineRule="auto"/>
              <w:rPr>
                <w:sz w:val="28"/>
                <w:szCs w:val="28"/>
              </w:rPr>
            </w:pPr>
            <w:r>
              <w:rPr>
                <w:rFonts w:ascii="方正黑体_GBK" w:hAnsi="方正黑体_GBK" w:eastAsia="方正黑体_GBK" w:cs="宋体"/>
                <w:sz w:val="20"/>
                <w:szCs w:val="24"/>
              </w:rPr>
              <w:t>4001195302</w:t>
            </w:r>
          </w:p>
        </w:tc>
      </w:tr>
      <w:tr w14:paraId="2116F88D">
        <w:trPr>
          <w:trHeight w:val="300" w:hRule="atLeast"/>
        </w:trPr>
        <w:tc>
          <w:tcPr>
            <w:tcW w:w="2100" w:type="dxa"/>
            <w:tcMar>
              <w:left w:w="120" w:type="dxa"/>
            </w:tcMar>
            <w:vAlign w:val="center"/>
          </w:tcPr>
          <w:p w14:paraId="1A0781CF">
            <w:pPr>
              <w:spacing w:line="240" w:lineRule="auto"/>
              <w:rPr>
                <w:sz w:val="28"/>
                <w:szCs w:val="28"/>
              </w:rPr>
            </w:pPr>
            <w:r>
              <w:rPr>
                <w:rFonts w:ascii="方正黑体_GBK" w:hAnsi="方正黑体_GBK" w:eastAsia="方正黑体_GBK" w:cs="宋体"/>
                <w:sz w:val="20"/>
                <w:szCs w:val="24"/>
              </w:rPr>
              <w:t>南京银行股份有限公司</w:t>
            </w:r>
          </w:p>
        </w:tc>
        <w:tc>
          <w:tcPr>
            <w:tcW w:w="4050" w:type="dxa"/>
            <w:tcMar>
              <w:left w:w="120" w:type="dxa"/>
            </w:tcMar>
            <w:vAlign w:val="center"/>
          </w:tcPr>
          <w:p w14:paraId="353261FA">
            <w:pPr>
              <w:spacing w:line="240" w:lineRule="auto"/>
              <w:rPr>
                <w:sz w:val="28"/>
                <w:szCs w:val="28"/>
              </w:rPr>
            </w:pPr>
            <w:r>
              <w:rPr>
                <w:rFonts w:ascii="方正黑体_GBK" w:hAnsi="方正黑体_GBK" w:eastAsia="方正黑体_GBK" w:cs="宋体"/>
                <w:sz w:val="20"/>
                <w:szCs w:val="24"/>
              </w:rPr>
              <w:t>南京市建邺区江山大街88号</w:t>
            </w:r>
          </w:p>
        </w:tc>
        <w:tc>
          <w:tcPr>
            <w:tcW w:w="1350" w:type="dxa"/>
            <w:tcMar>
              <w:left w:w="120" w:type="dxa"/>
            </w:tcMar>
            <w:vAlign w:val="center"/>
          </w:tcPr>
          <w:p w14:paraId="699373DF">
            <w:pPr>
              <w:spacing w:line="240" w:lineRule="auto"/>
              <w:rPr>
                <w:sz w:val="28"/>
                <w:szCs w:val="28"/>
              </w:rPr>
            </w:pPr>
            <w:r>
              <w:rPr>
                <w:rFonts w:ascii="方正黑体_GBK" w:hAnsi="方正黑体_GBK" w:eastAsia="方正黑体_GBK" w:cs="宋体"/>
                <w:sz w:val="20"/>
                <w:szCs w:val="24"/>
              </w:rPr>
              <w:t>95302</w:t>
            </w:r>
          </w:p>
        </w:tc>
      </w:tr>
      <w:tr w14:paraId="19180B8F">
        <w:trPr>
          <w:trHeight w:val="300" w:hRule="atLeast"/>
        </w:trPr>
        <w:tc>
          <w:tcPr>
            <w:tcW w:w="2100" w:type="dxa"/>
            <w:tcMar>
              <w:left w:w="120" w:type="dxa"/>
            </w:tcMar>
            <w:vAlign w:val="center"/>
          </w:tcPr>
          <w:p w14:paraId="3CF932A3">
            <w:pPr>
              <w:spacing w:line="240" w:lineRule="auto"/>
              <w:rPr>
                <w:sz w:val="28"/>
                <w:szCs w:val="28"/>
              </w:rPr>
            </w:pPr>
            <w:r>
              <w:rPr>
                <w:rFonts w:ascii="方正黑体_GBK" w:hAnsi="方正黑体_GBK" w:eastAsia="方正黑体_GBK" w:cs="宋体"/>
                <w:sz w:val="20"/>
                <w:szCs w:val="24"/>
              </w:rPr>
              <w:t>兴业银行股份有限公司</w:t>
            </w:r>
          </w:p>
        </w:tc>
        <w:tc>
          <w:tcPr>
            <w:tcW w:w="4050" w:type="dxa"/>
            <w:tcMar>
              <w:left w:w="120" w:type="dxa"/>
            </w:tcMar>
            <w:vAlign w:val="center"/>
          </w:tcPr>
          <w:p w14:paraId="1100D2E4">
            <w:pPr>
              <w:spacing w:line="240" w:lineRule="auto"/>
              <w:rPr>
                <w:sz w:val="28"/>
                <w:szCs w:val="28"/>
              </w:rPr>
            </w:pPr>
            <w:r>
              <w:rPr>
                <w:rFonts w:ascii="方正黑体_GBK" w:hAnsi="方正黑体_GBK" w:eastAsia="方正黑体_GBK" w:cs="宋体"/>
                <w:sz w:val="20"/>
                <w:szCs w:val="24"/>
              </w:rPr>
              <w:t>福建省福州市台江区江滨中大道398号兴业银行大厦</w:t>
            </w:r>
          </w:p>
        </w:tc>
        <w:tc>
          <w:tcPr>
            <w:tcW w:w="1350" w:type="dxa"/>
            <w:tcMar>
              <w:left w:w="120" w:type="dxa"/>
            </w:tcMar>
            <w:vAlign w:val="center"/>
          </w:tcPr>
          <w:p w14:paraId="29CC4EC1">
            <w:pPr>
              <w:spacing w:line="240" w:lineRule="auto"/>
              <w:rPr>
                <w:sz w:val="28"/>
                <w:szCs w:val="28"/>
              </w:rPr>
            </w:pPr>
            <w:r>
              <w:rPr>
                <w:rFonts w:ascii="方正黑体_GBK" w:hAnsi="方正黑体_GBK" w:eastAsia="方正黑体_GBK" w:cs="宋体"/>
                <w:sz w:val="20"/>
                <w:szCs w:val="24"/>
              </w:rPr>
              <w:t>95561</w:t>
            </w:r>
          </w:p>
        </w:tc>
      </w:tr>
      <w:tr w14:paraId="7F19454D">
        <w:trPr>
          <w:trHeight w:val="300" w:hRule="atLeast"/>
        </w:trPr>
        <w:tc>
          <w:tcPr>
            <w:tcW w:w="2100" w:type="dxa"/>
            <w:tcMar>
              <w:left w:w="120" w:type="dxa"/>
            </w:tcMar>
            <w:vAlign w:val="center"/>
          </w:tcPr>
          <w:p w14:paraId="75CEF49A">
            <w:pPr>
              <w:spacing w:line="240" w:lineRule="auto"/>
              <w:rPr>
                <w:sz w:val="28"/>
                <w:szCs w:val="28"/>
              </w:rPr>
            </w:pPr>
            <w:r>
              <w:rPr>
                <w:rFonts w:ascii="方正黑体_GBK" w:hAnsi="方正黑体_GBK" w:eastAsia="方正黑体_GBK" w:cs="宋体"/>
                <w:sz w:val="20"/>
                <w:szCs w:val="24"/>
              </w:rPr>
              <w:t>青岛银行股份有限公司</w:t>
            </w:r>
          </w:p>
        </w:tc>
        <w:tc>
          <w:tcPr>
            <w:tcW w:w="4050" w:type="dxa"/>
            <w:tcMar>
              <w:left w:w="120" w:type="dxa"/>
            </w:tcMar>
            <w:vAlign w:val="center"/>
          </w:tcPr>
          <w:p w14:paraId="0EFCEA62">
            <w:pPr>
              <w:spacing w:line="240" w:lineRule="auto"/>
              <w:rPr>
                <w:sz w:val="28"/>
                <w:szCs w:val="28"/>
              </w:rPr>
            </w:pPr>
            <w:r>
              <w:rPr>
                <w:rFonts w:ascii="方正黑体_GBK" w:hAnsi="方正黑体_GBK" w:eastAsia="方正黑体_GBK" w:cs="宋体"/>
                <w:sz w:val="20"/>
                <w:szCs w:val="24"/>
              </w:rPr>
              <w:t>山东省青岛市崂山区秦岭路6号3号楼</w:t>
            </w:r>
          </w:p>
        </w:tc>
        <w:tc>
          <w:tcPr>
            <w:tcW w:w="1350" w:type="dxa"/>
            <w:tcMar>
              <w:left w:w="120" w:type="dxa"/>
            </w:tcMar>
            <w:vAlign w:val="center"/>
          </w:tcPr>
          <w:p w14:paraId="24C51A61">
            <w:pPr>
              <w:spacing w:line="240" w:lineRule="auto"/>
              <w:rPr>
                <w:sz w:val="28"/>
                <w:szCs w:val="28"/>
              </w:rPr>
            </w:pPr>
            <w:r>
              <w:rPr>
                <w:rFonts w:ascii="方正黑体_GBK" w:hAnsi="方正黑体_GBK" w:eastAsia="方正黑体_GBK" w:cs="宋体"/>
                <w:sz w:val="20"/>
                <w:szCs w:val="24"/>
              </w:rPr>
              <w:t>4006696588</w:t>
            </w:r>
          </w:p>
        </w:tc>
      </w:tr>
      <w:tr w14:paraId="22B86DFE">
        <w:trPr>
          <w:trHeight w:val="300" w:hRule="atLeast"/>
        </w:trPr>
        <w:tc>
          <w:tcPr>
            <w:tcW w:w="2100" w:type="dxa"/>
            <w:tcMar>
              <w:left w:w="120" w:type="dxa"/>
            </w:tcMar>
            <w:vAlign w:val="center"/>
          </w:tcPr>
          <w:p w14:paraId="7F8C68EE">
            <w:pPr>
              <w:spacing w:line="240" w:lineRule="auto"/>
              <w:rPr>
                <w:sz w:val="28"/>
                <w:szCs w:val="28"/>
              </w:rPr>
            </w:pPr>
            <w:r>
              <w:rPr>
                <w:rFonts w:ascii="方正黑体_GBK" w:hAnsi="方正黑体_GBK" w:eastAsia="方正黑体_GBK" w:cs="宋体"/>
                <w:sz w:val="20"/>
                <w:szCs w:val="24"/>
              </w:rPr>
              <w:t>齐商银行股份有限公司</w:t>
            </w:r>
          </w:p>
        </w:tc>
        <w:tc>
          <w:tcPr>
            <w:tcW w:w="4050" w:type="dxa"/>
            <w:tcMar>
              <w:left w:w="120" w:type="dxa"/>
            </w:tcMar>
            <w:vAlign w:val="center"/>
          </w:tcPr>
          <w:p w14:paraId="6ABEED5E">
            <w:pPr>
              <w:spacing w:line="240" w:lineRule="auto"/>
              <w:rPr>
                <w:sz w:val="28"/>
                <w:szCs w:val="28"/>
              </w:rPr>
            </w:pPr>
            <w:r>
              <w:rPr>
                <w:rFonts w:ascii="方正黑体_GBK" w:hAnsi="方正黑体_GBK" w:eastAsia="方正黑体_GBK" w:cs="宋体"/>
                <w:sz w:val="20"/>
                <w:szCs w:val="24"/>
              </w:rPr>
              <w:t>山东省淄博市张店区人民西路212号</w:t>
            </w:r>
          </w:p>
        </w:tc>
        <w:tc>
          <w:tcPr>
            <w:tcW w:w="1350" w:type="dxa"/>
            <w:tcMar>
              <w:left w:w="120" w:type="dxa"/>
            </w:tcMar>
            <w:vAlign w:val="center"/>
          </w:tcPr>
          <w:p w14:paraId="0860D37F">
            <w:pPr>
              <w:spacing w:line="240" w:lineRule="auto"/>
              <w:rPr>
                <w:sz w:val="28"/>
                <w:szCs w:val="28"/>
              </w:rPr>
            </w:pPr>
            <w:r>
              <w:rPr>
                <w:rFonts w:ascii="方正黑体_GBK" w:hAnsi="方正黑体_GBK" w:eastAsia="方正黑体_GBK" w:cs="宋体"/>
                <w:sz w:val="20"/>
                <w:szCs w:val="24"/>
              </w:rPr>
              <w:t>0533-2163939</w:t>
            </w:r>
          </w:p>
        </w:tc>
      </w:tr>
      <w:tr w14:paraId="499E15E9">
        <w:trPr>
          <w:trHeight w:val="300" w:hRule="atLeast"/>
        </w:trPr>
        <w:tc>
          <w:tcPr>
            <w:tcW w:w="2100" w:type="dxa"/>
            <w:tcMar>
              <w:left w:w="120" w:type="dxa"/>
            </w:tcMar>
            <w:vAlign w:val="center"/>
          </w:tcPr>
          <w:p w14:paraId="03955FD9">
            <w:pPr>
              <w:spacing w:line="240" w:lineRule="auto"/>
              <w:rPr>
                <w:sz w:val="28"/>
                <w:szCs w:val="28"/>
              </w:rPr>
            </w:pPr>
            <w:r>
              <w:rPr>
                <w:rFonts w:ascii="方正黑体_GBK" w:hAnsi="方正黑体_GBK" w:eastAsia="方正黑体_GBK" w:cs="宋体"/>
                <w:sz w:val="20"/>
                <w:szCs w:val="24"/>
              </w:rPr>
              <w:t>嘉兴银行股份有限公司</w:t>
            </w:r>
          </w:p>
        </w:tc>
        <w:tc>
          <w:tcPr>
            <w:tcW w:w="4050" w:type="dxa"/>
            <w:tcMar>
              <w:left w:w="120" w:type="dxa"/>
            </w:tcMar>
            <w:vAlign w:val="center"/>
          </w:tcPr>
          <w:p w14:paraId="1BAD4AEB">
            <w:pPr>
              <w:spacing w:line="240" w:lineRule="auto"/>
              <w:rPr>
                <w:sz w:val="28"/>
                <w:szCs w:val="28"/>
              </w:rPr>
            </w:pPr>
            <w:r>
              <w:rPr>
                <w:rFonts w:ascii="方正黑体_GBK" w:hAnsi="方正黑体_GBK" w:eastAsia="方正黑体_GBK" w:cs="宋体"/>
                <w:sz w:val="20"/>
                <w:szCs w:val="24"/>
              </w:rPr>
              <w:t>浙江省嘉兴市昌盛南路1001号</w:t>
            </w:r>
          </w:p>
        </w:tc>
        <w:tc>
          <w:tcPr>
            <w:tcW w:w="1350" w:type="dxa"/>
            <w:tcMar>
              <w:left w:w="120" w:type="dxa"/>
            </w:tcMar>
            <w:vAlign w:val="center"/>
          </w:tcPr>
          <w:p w14:paraId="04E2E003">
            <w:pPr>
              <w:spacing w:line="240" w:lineRule="auto"/>
              <w:rPr>
                <w:sz w:val="28"/>
                <w:szCs w:val="28"/>
              </w:rPr>
            </w:pPr>
            <w:r>
              <w:rPr>
                <w:rFonts w:ascii="方正黑体_GBK" w:hAnsi="方正黑体_GBK" w:eastAsia="方正黑体_GBK" w:cs="宋体"/>
                <w:sz w:val="20"/>
                <w:szCs w:val="24"/>
              </w:rPr>
              <w:t>0573-96528</w:t>
            </w:r>
          </w:p>
        </w:tc>
      </w:tr>
      <w:tr w14:paraId="75EEA286">
        <w:trPr>
          <w:trHeight w:val="300" w:hRule="atLeast"/>
        </w:trPr>
        <w:tc>
          <w:tcPr>
            <w:tcW w:w="2100" w:type="dxa"/>
            <w:tcMar>
              <w:left w:w="120" w:type="dxa"/>
            </w:tcMar>
            <w:vAlign w:val="center"/>
          </w:tcPr>
          <w:p w14:paraId="6F9EDCAA">
            <w:pPr>
              <w:spacing w:line="240" w:lineRule="auto"/>
              <w:rPr>
                <w:sz w:val="28"/>
                <w:szCs w:val="28"/>
              </w:rPr>
            </w:pPr>
            <w:r>
              <w:rPr>
                <w:rFonts w:ascii="方正黑体_GBK" w:hAnsi="方正黑体_GBK" w:eastAsia="方正黑体_GBK" w:cs="宋体"/>
                <w:sz w:val="20"/>
                <w:szCs w:val="24"/>
              </w:rPr>
              <w:t>江苏常熟农村商业银行股份有限公司</w:t>
            </w:r>
          </w:p>
        </w:tc>
        <w:tc>
          <w:tcPr>
            <w:tcW w:w="4050" w:type="dxa"/>
            <w:tcMar>
              <w:left w:w="120" w:type="dxa"/>
            </w:tcMar>
            <w:vAlign w:val="center"/>
          </w:tcPr>
          <w:p w14:paraId="6EB18FF2">
            <w:pPr>
              <w:spacing w:line="240" w:lineRule="auto"/>
              <w:rPr>
                <w:sz w:val="28"/>
                <w:szCs w:val="28"/>
              </w:rPr>
            </w:pPr>
            <w:r>
              <w:rPr>
                <w:rFonts w:ascii="方正黑体_GBK" w:hAnsi="方正黑体_GBK" w:eastAsia="方正黑体_GBK" w:cs="宋体"/>
                <w:sz w:val="20"/>
                <w:szCs w:val="24"/>
              </w:rPr>
              <w:t>江苏省常熟市新世纪大道58号</w:t>
            </w:r>
          </w:p>
        </w:tc>
        <w:tc>
          <w:tcPr>
            <w:tcW w:w="1350" w:type="dxa"/>
            <w:tcMar>
              <w:left w:w="120" w:type="dxa"/>
            </w:tcMar>
            <w:vAlign w:val="center"/>
          </w:tcPr>
          <w:p w14:paraId="63F10FDB">
            <w:pPr>
              <w:spacing w:line="240" w:lineRule="auto"/>
              <w:rPr>
                <w:sz w:val="28"/>
                <w:szCs w:val="28"/>
              </w:rPr>
            </w:pPr>
            <w:r>
              <w:rPr>
                <w:rFonts w:ascii="方正黑体_GBK" w:hAnsi="方正黑体_GBK" w:eastAsia="方正黑体_GBK" w:cs="宋体"/>
                <w:sz w:val="20"/>
                <w:szCs w:val="24"/>
              </w:rPr>
              <w:t>956020</w:t>
            </w:r>
          </w:p>
        </w:tc>
      </w:tr>
      <w:tr w14:paraId="4F0B7CDF">
        <w:trPr>
          <w:trHeight w:val="300" w:hRule="atLeast"/>
        </w:trPr>
        <w:tc>
          <w:tcPr>
            <w:tcW w:w="2100" w:type="dxa"/>
            <w:tcMar>
              <w:left w:w="120" w:type="dxa"/>
            </w:tcMar>
            <w:vAlign w:val="center"/>
          </w:tcPr>
          <w:p w14:paraId="6726A08C">
            <w:pPr>
              <w:spacing w:line="240" w:lineRule="auto"/>
              <w:rPr>
                <w:sz w:val="28"/>
                <w:szCs w:val="28"/>
              </w:rPr>
            </w:pPr>
            <w:r>
              <w:rPr>
                <w:rFonts w:ascii="方正黑体_GBK" w:hAnsi="方正黑体_GBK" w:eastAsia="方正黑体_GBK" w:cs="宋体"/>
                <w:sz w:val="20"/>
                <w:szCs w:val="24"/>
              </w:rPr>
              <w:t>长沙银行股份有限公司</w:t>
            </w:r>
          </w:p>
        </w:tc>
        <w:tc>
          <w:tcPr>
            <w:tcW w:w="4050" w:type="dxa"/>
            <w:tcMar>
              <w:left w:w="120" w:type="dxa"/>
            </w:tcMar>
            <w:vAlign w:val="center"/>
          </w:tcPr>
          <w:p w14:paraId="7B082655">
            <w:pPr>
              <w:spacing w:line="240" w:lineRule="auto"/>
              <w:rPr>
                <w:sz w:val="28"/>
                <w:szCs w:val="28"/>
              </w:rPr>
            </w:pPr>
            <w:r>
              <w:rPr>
                <w:rFonts w:ascii="方正黑体_GBK" w:hAnsi="方正黑体_GBK" w:eastAsia="方正黑体_GBK" w:cs="宋体"/>
                <w:sz w:val="20"/>
                <w:szCs w:val="24"/>
              </w:rPr>
              <w:t>湖南省长沙市岳麓区滨江路53号楷林商务中心B座</w:t>
            </w:r>
          </w:p>
        </w:tc>
        <w:tc>
          <w:tcPr>
            <w:tcW w:w="1350" w:type="dxa"/>
            <w:tcMar>
              <w:left w:w="120" w:type="dxa"/>
            </w:tcMar>
            <w:vAlign w:val="center"/>
          </w:tcPr>
          <w:p w14:paraId="3BABD0D9">
            <w:pPr>
              <w:spacing w:line="240" w:lineRule="auto"/>
              <w:rPr>
                <w:sz w:val="28"/>
                <w:szCs w:val="28"/>
              </w:rPr>
            </w:pPr>
            <w:r>
              <w:rPr>
                <w:rFonts w:ascii="方正黑体_GBK" w:hAnsi="方正黑体_GBK" w:eastAsia="方正黑体_GBK" w:cs="宋体"/>
                <w:sz w:val="20"/>
                <w:szCs w:val="24"/>
              </w:rPr>
              <w:t>0731-89934772</w:t>
            </w:r>
          </w:p>
        </w:tc>
      </w:tr>
      <w:tr w14:paraId="32DF7607">
        <w:trPr>
          <w:trHeight w:val="300" w:hRule="atLeast"/>
        </w:trPr>
        <w:tc>
          <w:tcPr>
            <w:tcW w:w="2100" w:type="dxa"/>
            <w:tcMar>
              <w:left w:w="120" w:type="dxa"/>
            </w:tcMar>
            <w:vAlign w:val="center"/>
          </w:tcPr>
          <w:p w14:paraId="5663C51C">
            <w:pPr>
              <w:spacing w:line="240" w:lineRule="auto"/>
              <w:rPr>
                <w:sz w:val="28"/>
                <w:szCs w:val="28"/>
              </w:rPr>
            </w:pPr>
            <w:r>
              <w:rPr>
                <w:rFonts w:ascii="方正黑体_GBK" w:hAnsi="方正黑体_GBK" w:eastAsia="方正黑体_GBK" w:cs="宋体"/>
                <w:sz w:val="20"/>
                <w:szCs w:val="24"/>
              </w:rPr>
              <w:t>福建海峡银行股份有限公司</w:t>
            </w:r>
          </w:p>
        </w:tc>
        <w:tc>
          <w:tcPr>
            <w:tcW w:w="4050" w:type="dxa"/>
            <w:tcMar>
              <w:left w:w="120" w:type="dxa"/>
            </w:tcMar>
            <w:vAlign w:val="center"/>
          </w:tcPr>
          <w:p w14:paraId="106B5796">
            <w:pPr>
              <w:spacing w:line="240" w:lineRule="auto"/>
              <w:rPr>
                <w:sz w:val="28"/>
                <w:szCs w:val="28"/>
              </w:rPr>
            </w:pPr>
            <w:r>
              <w:rPr>
                <w:rFonts w:ascii="方正黑体_GBK" w:hAnsi="方正黑体_GBK" w:eastAsia="方正黑体_GBK" w:cs="宋体"/>
                <w:sz w:val="20"/>
                <w:szCs w:val="24"/>
              </w:rPr>
              <w:t>福建省福州市台江区江滨中大道358号海峡银行大厦</w:t>
            </w:r>
          </w:p>
        </w:tc>
        <w:tc>
          <w:tcPr>
            <w:tcW w:w="1350" w:type="dxa"/>
            <w:tcMar>
              <w:left w:w="120" w:type="dxa"/>
            </w:tcMar>
            <w:vAlign w:val="center"/>
          </w:tcPr>
          <w:p w14:paraId="41B0F0B1">
            <w:pPr>
              <w:spacing w:line="240" w:lineRule="auto"/>
              <w:rPr>
                <w:sz w:val="28"/>
                <w:szCs w:val="28"/>
              </w:rPr>
            </w:pPr>
            <w:r>
              <w:rPr>
                <w:rFonts w:ascii="方正黑体_GBK" w:hAnsi="方正黑体_GBK" w:eastAsia="方正黑体_GBK" w:cs="宋体"/>
                <w:sz w:val="20"/>
                <w:szCs w:val="24"/>
              </w:rPr>
              <w:t>0591-4008939999</w:t>
            </w:r>
          </w:p>
        </w:tc>
      </w:tr>
      <w:tr w14:paraId="23265AE7">
        <w:trPr>
          <w:trHeight w:val="300" w:hRule="atLeast"/>
        </w:trPr>
        <w:tc>
          <w:tcPr>
            <w:tcW w:w="2100" w:type="dxa"/>
            <w:tcMar>
              <w:left w:w="120" w:type="dxa"/>
            </w:tcMar>
            <w:vAlign w:val="center"/>
          </w:tcPr>
          <w:p w14:paraId="0D1160E4">
            <w:pPr>
              <w:spacing w:line="240" w:lineRule="auto"/>
              <w:rPr>
                <w:sz w:val="28"/>
                <w:szCs w:val="28"/>
              </w:rPr>
            </w:pPr>
            <w:r>
              <w:rPr>
                <w:rFonts w:ascii="方正黑体_GBK" w:hAnsi="方正黑体_GBK" w:eastAsia="方正黑体_GBK" w:cs="宋体"/>
                <w:sz w:val="20"/>
                <w:szCs w:val="24"/>
              </w:rPr>
              <w:t>秦皇岛银行股份有限公司</w:t>
            </w:r>
          </w:p>
        </w:tc>
        <w:tc>
          <w:tcPr>
            <w:tcW w:w="4050" w:type="dxa"/>
            <w:tcMar>
              <w:left w:w="120" w:type="dxa"/>
            </w:tcMar>
            <w:vAlign w:val="center"/>
          </w:tcPr>
          <w:p w14:paraId="4B016163">
            <w:pPr>
              <w:spacing w:line="240" w:lineRule="auto"/>
              <w:rPr>
                <w:sz w:val="28"/>
                <w:szCs w:val="28"/>
              </w:rPr>
            </w:pPr>
            <w:r>
              <w:rPr>
                <w:rFonts w:ascii="方正黑体_GBK" w:hAnsi="方正黑体_GBK" w:eastAsia="方正黑体_GBK" w:cs="宋体"/>
                <w:sz w:val="20"/>
                <w:szCs w:val="24"/>
              </w:rPr>
              <w:t>河北省秦皇岛市海港区河北大街西段 560 号</w:t>
            </w:r>
          </w:p>
        </w:tc>
        <w:tc>
          <w:tcPr>
            <w:tcW w:w="1350" w:type="dxa"/>
            <w:tcMar>
              <w:left w:w="120" w:type="dxa"/>
            </w:tcMar>
            <w:vAlign w:val="center"/>
          </w:tcPr>
          <w:p w14:paraId="7443A1FD">
            <w:pPr>
              <w:spacing w:line="240" w:lineRule="auto"/>
              <w:rPr>
                <w:sz w:val="28"/>
                <w:szCs w:val="28"/>
              </w:rPr>
            </w:pPr>
            <w:r>
              <w:rPr>
                <w:rFonts w:ascii="方正黑体_GBK" w:hAnsi="方正黑体_GBK" w:eastAsia="方正黑体_GBK" w:cs="宋体"/>
                <w:sz w:val="20"/>
                <w:szCs w:val="24"/>
              </w:rPr>
              <w:t>0335-96336</w:t>
            </w:r>
          </w:p>
        </w:tc>
      </w:tr>
      <w:tr w14:paraId="01E57C5D">
        <w:trPr>
          <w:trHeight w:val="300" w:hRule="atLeast"/>
        </w:trPr>
        <w:tc>
          <w:tcPr>
            <w:tcW w:w="2100" w:type="dxa"/>
            <w:tcMar>
              <w:left w:w="120" w:type="dxa"/>
            </w:tcMar>
            <w:vAlign w:val="center"/>
          </w:tcPr>
          <w:p w14:paraId="3313FADC">
            <w:pPr>
              <w:spacing w:line="240" w:lineRule="auto"/>
              <w:rPr>
                <w:sz w:val="28"/>
                <w:szCs w:val="28"/>
              </w:rPr>
            </w:pPr>
            <w:r>
              <w:rPr>
                <w:rFonts w:ascii="方正黑体_GBK" w:hAnsi="方正黑体_GBK" w:eastAsia="方正黑体_GBK" w:cs="宋体"/>
                <w:sz w:val="20"/>
                <w:szCs w:val="24"/>
              </w:rPr>
              <w:t>泰安银行股份有限公司</w:t>
            </w:r>
          </w:p>
        </w:tc>
        <w:tc>
          <w:tcPr>
            <w:tcW w:w="4050" w:type="dxa"/>
            <w:tcMar>
              <w:left w:w="120" w:type="dxa"/>
            </w:tcMar>
            <w:vAlign w:val="center"/>
          </w:tcPr>
          <w:p w14:paraId="468046A8">
            <w:pPr>
              <w:spacing w:line="240" w:lineRule="auto"/>
              <w:rPr>
                <w:sz w:val="28"/>
                <w:szCs w:val="28"/>
              </w:rPr>
            </w:pPr>
            <w:r>
              <w:rPr>
                <w:rFonts w:ascii="方正黑体_GBK" w:hAnsi="方正黑体_GBK" w:eastAsia="方正黑体_GBK" w:cs="宋体"/>
                <w:sz w:val="20"/>
                <w:szCs w:val="24"/>
              </w:rPr>
              <w:t>山东省泰安市长城路3号圣地大厦</w:t>
            </w:r>
          </w:p>
        </w:tc>
        <w:tc>
          <w:tcPr>
            <w:tcW w:w="1350" w:type="dxa"/>
            <w:tcMar>
              <w:left w:w="120" w:type="dxa"/>
            </w:tcMar>
            <w:vAlign w:val="center"/>
          </w:tcPr>
          <w:p w14:paraId="4E24891E">
            <w:pPr>
              <w:spacing w:line="240" w:lineRule="auto"/>
              <w:rPr>
                <w:sz w:val="28"/>
                <w:szCs w:val="28"/>
              </w:rPr>
            </w:pPr>
            <w:r>
              <w:rPr>
                <w:rFonts w:ascii="方正黑体_GBK" w:hAnsi="方正黑体_GBK" w:eastAsia="方正黑体_GBK" w:cs="宋体"/>
                <w:sz w:val="20"/>
                <w:szCs w:val="24"/>
              </w:rPr>
              <w:t>0538-96588</w:t>
            </w:r>
          </w:p>
        </w:tc>
      </w:tr>
      <w:tr w14:paraId="01D07ED3">
        <w:trPr>
          <w:trHeight w:val="300" w:hRule="atLeast"/>
        </w:trPr>
        <w:tc>
          <w:tcPr>
            <w:tcW w:w="2100" w:type="dxa"/>
            <w:tcMar>
              <w:left w:w="120" w:type="dxa"/>
            </w:tcMar>
            <w:vAlign w:val="center"/>
          </w:tcPr>
          <w:p w14:paraId="217B629F">
            <w:pPr>
              <w:spacing w:line="240" w:lineRule="auto"/>
              <w:rPr>
                <w:sz w:val="28"/>
                <w:szCs w:val="28"/>
              </w:rPr>
            </w:pPr>
            <w:r>
              <w:rPr>
                <w:rFonts w:ascii="方正黑体_GBK" w:hAnsi="方正黑体_GBK" w:eastAsia="方正黑体_GBK" w:cs="宋体"/>
                <w:sz w:val="20"/>
                <w:szCs w:val="24"/>
              </w:rPr>
              <w:t>宁波东海银行股份有限公司</w:t>
            </w:r>
          </w:p>
        </w:tc>
        <w:tc>
          <w:tcPr>
            <w:tcW w:w="4050" w:type="dxa"/>
            <w:tcMar>
              <w:left w:w="120" w:type="dxa"/>
            </w:tcMar>
            <w:vAlign w:val="center"/>
          </w:tcPr>
          <w:p w14:paraId="6564B96C">
            <w:pPr>
              <w:spacing w:line="240" w:lineRule="auto"/>
              <w:rPr>
                <w:sz w:val="28"/>
                <w:szCs w:val="28"/>
              </w:rPr>
            </w:pPr>
            <w:r>
              <w:rPr>
                <w:rFonts w:ascii="方正黑体_GBK" w:hAnsi="方正黑体_GBK" w:eastAsia="方正黑体_GBK" w:cs="宋体"/>
                <w:sz w:val="20"/>
                <w:szCs w:val="24"/>
              </w:rPr>
              <w:t>浙江省宁波高新区新晖南路113-127号（单号），扬帆路515号2-10层，高新宝龙商业广场13-19号、22号、29号</w:t>
            </w:r>
          </w:p>
        </w:tc>
        <w:tc>
          <w:tcPr>
            <w:tcW w:w="1350" w:type="dxa"/>
            <w:tcMar>
              <w:left w:w="120" w:type="dxa"/>
            </w:tcMar>
            <w:vAlign w:val="center"/>
          </w:tcPr>
          <w:p w14:paraId="22E76064">
            <w:pPr>
              <w:spacing w:line="240" w:lineRule="auto"/>
              <w:rPr>
                <w:sz w:val="28"/>
                <w:szCs w:val="28"/>
              </w:rPr>
            </w:pPr>
            <w:r>
              <w:rPr>
                <w:rFonts w:ascii="方正黑体_GBK" w:hAnsi="方正黑体_GBK" w:eastAsia="方正黑体_GBK" w:cs="宋体"/>
                <w:sz w:val="20"/>
                <w:szCs w:val="24"/>
              </w:rPr>
              <w:t>400-8866-345</w:t>
            </w:r>
          </w:p>
        </w:tc>
      </w:tr>
      <w:tr w14:paraId="7CD67B8B">
        <w:trPr>
          <w:trHeight w:val="300" w:hRule="atLeast"/>
        </w:trPr>
        <w:tc>
          <w:tcPr>
            <w:tcW w:w="2100" w:type="dxa"/>
            <w:tcMar>
              <w:left w:w="120" w:type="dxa"/>
            </w:tcMar>
            <w:vAlign w:val="center"/>
          </w:tcPr>
          <w:p w14:paraId="4FB680D7">
            <w:pPr>
              <w:spacing w:line="240" w:lineRule="auto"/>
              <w:rPr>
                <w:sz w:val="28"/>
                <w:szCs w:val="28"/>
              </w:rPr>
            </w:pPr>
            <w:r>
              <w:rPr>
                <w:rFonts w:ascii="方正黑体_GBK" w:hAnsi="方正黑体_GBK" w:eastAsia="方正黑体_GBK" w:cs="宋体"/>
                <w:sz w:val="20"/>
                <w:szCs w:val="24"/>
              </w:rPr>
              <w:t>齐鲁银行股份有限公司</w:t>
            </w:r>
          </w:p>
        </w:tc>
        <w:tc>
          <w:tcPr>
            <w:tcW w:w="4050" w:type="dxa"/>
            <w:tcMar>
              <w:left w:w="120" w:type="dxa"/>
            </w:tcMar>
            <w:vAlign w:val="center"/>
          </w:tcPr>
          <w:p w14:paraId="63567163">
            <w:pPr>
              <w:spacing w:line="240" w:lineRule="auto"/>
              <w:rPr>
                <w:sz w:val="28"/>
                <w:szCs w:val="28"/>
              </w:rPr>
            </w:pPr>
            <w:r>
              <w:rPr>
                <w:rFonts w:ascii="方正黑体_GBK" w:hAnsi="方正黑体_GBK" w:eastAsia="方正黑体_GBK" w:cs="宋体"/>
                <w:sz w:val="20"/>
                <w:szCs w:val="24"/>
              </w:rPr>
              <w:t>山东省济南市历下区经十路10817号</w:t>
            </w:r>
          </w:p>
        </w:tc>
        <w:tc>
          <w:tcPr>
            <w:tcW w:w="1350" w:type="dxa"/>
            <w:tcMar>
              <w:left w:w="120" w:type="dxa"/>
            </w:tcMar>
            <w:vAlign w:val="center"/>
          </w:tcPr>
          <w:p w14:paraId="04107817">
            <w:pPr>
              <w:spacing w:line="240" w:lineRule="auto"/>
              <w:rPr>
                <w:sz w:val="28"/>
                <w:szCs w:val="28"/>
              </w:rPr>
            </w:pPr>
            <w:r>
              <w:rPr>
                <w:rFonts w:ascii="方正黑体_GBK" w:hAnsi="方正黑体_GBK" w:eastAsia="方正黑体_GBK" w:cs="宋体"/>
                <w:sz w:val="20"/>
                <w:szCs w:val="24"/>
              </w:rPr>
              <w:t>4006096588</w:t>
            </w:r>
          </w:p>
        </w:tc>
      </w:tr>
      <w:tr w14:paraId="6BAFD8F3">
        <w:trPr>
          <w:trHeight w:val="300" w:hRule="atLeast"/>
        </w:trPr>
        <w:tc>
          <w:tcPr>
            <w:tcW w:w="2100" w:type="dxa"/>
            <w:tcMar>
              <w:left w:w="120" w:type="dxa"/>
            </w:tcMar>
            <w:vAlign w:val="center"/>
          </w:tcPr>
          <w:p w14:paraId="75AE0BDC">
            <w:pPr>
              <w:spacing w:line="240" w:lineRule="auto"/>
              <w:rPr>
                <w:sz w:val="28"/>
                <w:szCs w:val="28"/>
              </w:rPr>
            </w:pPr>
            <w:r>
              <w:rPr>
                <w:rFonts w:ascii="方正黑体_GBK" w:hAnsi="方正黑体_GBK" w:eastAsia="方正黑体_GBK" w:cs="宋体"/>
                <w:sz w:val="20"/>
                <w:szCs w:val="24"/>
              </w:rPr>
              <w:t>云南红塔银行股份有限公司</w:t>
            </w:r>
          </w:p>
        </w:tc>
        <w:tc>
          <w:tcPr>
            <w:tcW w:w="4050" w:type="dxa"/>
            <w:tcMar>
              <w:left w:w="120" w:type="dxa"/>
            </w:tcMar>
            <w:vAlign w:val="center"/>
          </w:tcPr>
          <w:p w14:paraId="1BB489C3">
            <w:pPr>
              <w:spacing w:line="240" w:lineRule="auto"/>
              <w:rPr>
                <w:sz w:val="28"/>
                <w:szCs w:val="28"/>
              </w:rPr>
            </w:pPr>
            <w:r>
              <w:rPr>
                <w:rFonts w:ascii="方正黑体_GBK" w:hAnsi="方正黑体_GBK" w:eastAsia="方正黑体_GBK" w:cs="宋体"/>
                <w:sz w:val="20"/>
                <w:szCs w:val="24"/>
              </w:rPr>
              <w:t>云南省玉溪市东风南路2号</w:t>
            </w:r>
          </w:p>
        </w:tc>
        <w:tc>
          <w:tcPr>
            <w:tcW w:w="1350" w:type="dxa"/>
            <w:tcMar>
              <w:left w:w="120" w:type="dxa"/>
            </w:tcMar>
            <w:vAlign w:val="center"/>
          </w:tcPr>
          <w:p w14:paraId="43EE2D1D">
            <w:pPr>
              <w:spacing w:line="240" w:lineRule="auto"/>
              <w:rPr>
                <w:sz w:val="28"/>
                <w:szCs w:val="28"/>
              </w:rPr>
            </w:pPr>
            <w:r>
              <w:rPr>
                <w:rFonts w:ascii="方正黑体_GBK" w:hAnsi="方正黑体_GBK" w:eastAsia="方正黑体_GBK" w:cs="宋体"/>
                <w:sz w:val="20"/>
                <w:szCs w:val="24"/>
              </w:rPr>
              <w:t>96522</w:t>
            </w:r>
          </w:p>
        </w:tc>
      </w:tr>
      <w:tr w14:paraId="06D541C3">
        <w:trPr>
          <w:trHeight w:val="300" w:hRule="atLeast"/>
        </w:trPr>
        <w:tc>
          <w:tcPr>
            <w:tcW w:w="2100" w:type="dxa"/>
            <w:tcMar>
              <w:left w:w="120" w:type="dxa"/>
            </w:tcMar>
            <w:vAlign w:val="center"/>
          </w:tcPr>
          <w:p w14:paraId="2F0F795C">
            <w:pPr>
              <w:spacing w:line="240" w:lineRule="auto"/>
              <w:rPr>
                <w:sz w:val="28"/>
                <w:szCs w:val="28"/>
              </w:rPr>
            </w:pPr>
            <w:r>
              <w:rPr>
                <w:rFonts w:ascii="方正黑体_GBK" w:hAnsi="方正黑体_GBK" w:eastAsia="方正黑体_GBK" w:cs="宋体"/>
                <w:sz w:val="20"/>
                <w:szCs w:val="24"/>
              </w:rPr>
              <w:t>九江银行股份有限公司</w:t>
            </w:r>
          </w:p>
        </w:tc>
        <w:tc>
          <w:tcPr>
            <w:tcW w:w="4050" w:type="dxa"/>
            <w:tcMar>
              <w:left w:w="120" w:type="dxa"/>
            </w:tcMar>
            <w:vAlign w:val="center"/>
          </w:tcPr>
          <w:p w14:paraId="79AC8256">
            <w:pPr>
              <w:spacing w:line="240" w:lineRule="auto"/>
              <w:rPr>
                <w:sz w:val="28"/>
                <w:szCs w:val="28"/>
              </w:rPr>
            </w:pPr>
            <w:r>
              <w:rPr>
                <w:rFonts w:ascii="方正黑体_GBK" w:hAnsi="方正黑体_GBK" w:eastAsia="方正黑体_GBK" w:cs="宋体"/>
                <w:sz w:val="20"/>
                <w:szCs w:val="24"/>
              </w:rPr>
              <w:t>江西省九江市濂溪区长虹大道619号</w:t>
            </w:r>
          </w:p>
        </w:tc>
        <w:tc>
          <w:tcPr>
            <w:tcW w:w="1350" w:type="dxa"/>
            <w:tcMar>
              <w:left w:w="120" w:type="dxa"/>
            </w:tcMar>
            <w:vAlign w:val="center"/>
          </w:tcPr>
          <w:p w14:paraId="12360C7E">
            <w:pPr>
              <w:spacing w:line="240" w:lineRule="auto"/>
              <w:rPr>
                <w:sz w:val="28"/>
                <w:szCs w:val="28"/>
              </w:rPr>
            </w:pPr>
            <w:r>
              <w:rPr>
                <w:rFonts w:ascii="方正黑体_GBK" w:hAnsi="方正黑体_GBK" w:eastAsia="方正黑体_GBK" w:cs="宋体"/>
                <w:sz w:val="20"/>
                <w:szCs w:val="24"/>
              </w:rPr>
              <w:t>95316</w:t>
            </w:r>
          </w:p>
        </w:tc>
      </w:tr>
      <w:tr w14:paraId="21161C15">
        <w:trPr>
          <w:trHeight w:val="300" w:hRule="atLeast"/>
        </w:trPr>
        <w:tc>
          <w:tcPr>
            <w:tcW w:w="2100" w:type="dxa"/>
            <w:tcMar>
              <w:left w:w="120" w:type="dxa"/>
            </w:tcMar>
            <w:vAlign w:val="center"/>
          </w:tcPr>
          <w:p w14:paraId="2F8B95F4">
            <w:pPr>
              <w:spacing w:line="240" w:lineRule="auto"/>
              <w:rPr>
                <w:sz w:val="28"/>
                <w:szCs w:val="28"/>
              </w:rPr>
            </w:pPr>
            <w:r>
              <w:rPr>
                <w:rFonts w:ascii="方正黑体_GBK" w:hAnsi="方正黑体_GBK" w:eastAsia="方正黑体_GBK" w:cs="宋体"/>
                <w:sz w:val="20"/>
                <w:szCs w:val="24"/>
              </w:rPr>
              <w:t>宁夏银行股份有限公司</w:t>
            </w:r>
          </w:p>
        </w:tc>
        <w:tc>
          <w:tcPr>
            <w:tcW w:w="4050" w:type="dxa"/>
            <w:tcMar>
              <w:left w:w="120" w:type="dxa"/>
            </w:tcMar>
            <w:vAlign w:val="center"/>
          </w:tcPr>
          <w:p w14:paraId="6A5AE309">
            <w:pPr>
              <w:spacing w:line="240" w:lineRule="auto"/>
              <w:rPr>
                <w:sz w:val="28"/>
                <w:szCs w:val="28"/>
              </w:rPr>
            </w:pPr>
            <w:r>
              <w:rPr>
                <w:rFonts w:ascii="方正黑体_GBK" w:hAnsi="方正黑体_GBK" w:eastAsia="方正黑体_GBK" w:cs="宋体"/>
                <w:sz w:val="20"/>
                <w:szCs w:val="24"/>
              </w:rPr>
              <w:t>宁夏回族自治区银川市北京中路 157 号</w:t>
            </w:r>
          </w:p>
        </w:tc>
        <w:tc>
          <w:tcPr>
            <w:tcW w:w="1350" w:type="dxa"/>
            <w:tcMar>
              <w:left w:w="120" w:type="dxa"/>
            </w:tcMar>
            <w:vAlign w:val="center"/>
          </w:tcPr>
          <w:p w14:paraId="00D62589">
            <w:pPr>
              <w:spacing w:line="240" w:lineRule="auto"/>
              <w:rPr>
                <w:sz w:val="28"/>
                <w:szCs w:val="28"/>
              </w:rPr>
            </w:pPr>
            <w:r>
              <w:rPr>
                <w:rFonts w:ascii="方正黑体_GBK" w:hAnsi="方正黑体_GBK" w:eastAsia="方正黑体_GBK" w:cs="宋体"/>
                <w:sz w:val="20"/>
                <w:szCs w:val="24"/>
              </w:rPr>
              <w:t>400-809-6558</w:t>
            </w:r>
          </w:p>
        </w:tc>
      </w:tr>
      <w:tr w14:paraId="6C4C426E">
        <w:trPr>
          <w:trHeight w:val="300" w:hRule="atLeast"/>
        </w:trPr>
        <w:tc>
          <w:tcPr>
            <w:tcW w:w="2100" w:type="dxa"/>
            <w:tcMar>
              <w:left w:w="120" w:type="dxa"/>
            </w:tcMar>
            <w:vAlign w:val="center"/>
          </w:tcPr>
          <w:p w14:paraId="70155303">
            <w:pPr>
              <w:spacing w:line="240" w:lineRule="auto"/>
              <w:rPr>
                <w:sz w:val="28"/>
                <w:szCs w:val="28"/>
              </w:rPr>
            </w:pPr>
            <w:r>
              <w:rPr>
                <w:rFonts w:ascii="方正黑体_GBK" w:hAnsi="方正黑体_GBK" w:eastAsia="方正黑体_GBK" w:cs="宋体"/>
                <w:sz w:val="20"/>
                <w:szCs w:val="24"/>
              </w:rPr>
              <w:t>天津农村商业银行股份有限公司</w:t>
            </w:r>
          </w:p>
        </w:tc>
        <w:tc>
          <w:tcPr>
            <w:tcW w:w="4050" w:type="dxa"/>
            <w:tcMar>
              <w:left w:w="120" w:type="dxa"/>
            </w:tcMar>
            <w:vAlign w:val="center"/>
          </w:tcPr>
          <w:p w14:paraId="44A944F5">
            <w:pPr>
              <w:spacing w:line="240" w:lineRule="auto"/>
              <w:rPr>
                <w:sz w:val="28"/>
                <w:szCs w:val="28"/>
              </w:rPr>
            </w:pPr>
            <w:r>
              <w:rPr>
                <w:rFonts w:ascii="方正黑体_GBK" w:hAnsi="方正黑体_GBK" w:eastAsia="方正黑体_GBK" w:cs="宋体"/>
                <w:sz w:val="20"/>
                <w:szCs w:val="24"/>
              </w:rPr>
              <w:t>天津市河西区友谊路32号</w:t>
            </w:r>
          </w:p>
        </w:tc>
        <w:tc>
          <w:tcPr>
            <w:tcW w:w="1350" w:type="dxa"/>
            <w:tcMar>
              <w:left w:w="120" w:type="dxa"/>
            </w:tcMar>
            <w:vAlign w:val="center"/>
          </w:tcPr>
          <w:p w14:paraId="12329374">
            <w:pPr>
              <w:spacing w:line="240" w:lineRule="auto"/>
              <w:rPr>
                <w:sz w:val="28"/>
                <w:szCs w:val="28"/>
              </w:rPr>
            </w:pPr>
            <w:r>
              <w:rPr>
                <w:rFonts w:ascii="方正黑体_GBK" w:hAnsi="方正黑体_GBK" w:eastAsia="方正黑体_GBK" w:cs="宋体"/>
                <w:sz w:val="20"/>
                <w:szCs w:val="24"/>
              </w:rPr>
              <w:t>022-96155、400-80-96155</w:t>
            </w:r>
          </w:p>
        </w:tc>
      </w:tr>
      <w:tr w14:paraId="6D3FFDB4">
        <w:trPr>
          <w:trHeight w:val="300" w:hRule="atLeast"/>
        </w:trPr>
        <w:tc>
          <w:tcPr>
            <w:tcW w:w="2100" w:type="dxa"/>
            <w:tcMar>
              <w:left w:w="120" w:type="dxa"/>
            </w:tcMar>
            <w:vAlign w:val="center"/>
          </w:tcPr>
          <w:p w14:paraId="490C8FF2">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050" w:type="dxa"/>
            <w:tcMar>
              <w:left w:w="120" w:type="dxa"/>
            </w:tcMar>
            <w:vAlign w:val="center"/>
          </w:tcPr>
          <w:p w14:paraId="535FE3C8">
            <w:pPr>
              <w:spacing w:line="240" w:lineRule="auto"/>
              <w:rPr>
                <w:sz w:val="28"/>
                <w:szCs w:val="28"/>
              </w:rPr>
            </w:pPr>
            <w:r>
              <w:rPr>
                <w:rFonts w:ascii="方正黑体_GBK" w:hAnsi="方正黑体_GBK" w:eastAsia="方正黑体_GBK" w:cs="宋体"/>
                <w:sz w:val="20"/>
                <w:szCs w:val="24"/>
              </w:rPr>
              <w:t>南京市建邺区江东中路381号</w:t>
            </w:r>
          </w:p>
        </w:tc>
        <w:tc>
          <w:tcPr>
            <w:tcW w:w="1350" w:type="dxa"/>
            <w:tcMar>
              <w:left w:w="120" w:type="dxa"/>
            </w:tcMar>
            <w:vAlign w:val="center"/>
          </w:tcPr>
          <w:p w14:paraId="3728DE44">
            <w:pPr>
              <w:spacing w:line="240" w:lineRule="auto"/>
              <w:rPr>
                <w:sz w:val="28"/>
                <w:szCs w:val="28"/>
              </w:rPr>
            </w:pPr>
            <w:r>
              <w:rPr>
                <w:rFonts w:ascii="方正黑体_GBK" w:hAnsi="方正黑体_GBK" w:eastAsia="方正黑体_GBK" w:cs="宋体"/>
                <w:sz w:val="20"/>
                <w:szCs w:val="24"/>
              </w:rPr>
              <w:t>96008</w:t>
            </w:r>
          </w:p>
        </w:tc>
      </w:tr>
      <w:tr w14:paraId="5D5A3579">
        <w:trPr>
          <w:trHeight w:val="300" w:hRule="atLeast"/>
        </w:trPr>
        <w:tc>
          <w:tcPr>
            <w:tcW w:w="2100" w:type="dxa"/>
            <w:tcMar>
              <w:left w:w="120" w:type="dxa"/>
            </w:tcMar>
            <w:vAlign w:val="center"/>
          </w:tcPr>
          <w:p w14:paraId="6AF0DBA6">
            <w:pPr>
              <w:spacing w:line="240" w:lineRule="auto"/>
              <w:rPr>
                <w:sz w:val="28"/>
                <w:szCs w:val="28"/>
              </w:rPr>
            </w:pPr>
            <w:r>
              <w:rPr>
                <w:rFonts w:ascii="方正黑体_GBK" w:hAnsi="方正黑体_GBK" w:eastAsia="方正黑体_GBK" w:cs="宋体"/>
                <w:sz w:val="20"/>
                <w:szCs w:val="24"/>
              </w:rPr>
              <w:t>温州银行股份有限公司</w:t>
            </w:r>
          </w:p>
        </w:tc>
        <w:tc>
          <w:tcPr>
            <w:tcW w:w="4050" w:type="dxa"/>
            <w:tcMar>
              <w:left w:w="120" w:type="dxa"/>
            </w:tcMar>
            <w:vAlign w:val="center"/>
          </w:tcPr>
          <w:p w14:paraId="14E87EA9">
            <w:pPr>
              <w:spacing w:line="240" w:lineRule="auto"/>
              <w:rPr>
                <w:sz w:val="28"/>
                <w:szCs w:val="28"/>
              </w:rPr>
            </w:pPr>
            <w:r>
              <w:rPr>
                <w:rFonts w:ascii="方正黑体_GBK" w:hAnsi="方正黑体_GBK" w:eastAsia="方正黑体_GBK" w:cs="宋体"/>
                <w:sz w:val="20"/>
                <w:szCs w:val="24"/>
              </w:rPr>
              <w:t>浙江省温州市鹿城区会展路1316号</w:t>
            </w:r>
          </w:p>
        </w:tc>
        <w:tc>
          <w:tcPr>
            <w:tcW w:w="1350" w:type="dxa"/>
            <w:tcMar>
              <w:left w:w="120" w:type="dxa"/>
            </w:tcMar>
            <w:vAlign w:val="center"/>
          </w:tcPr>
          <w:p w14:paraId="75AC4901">
            <w:pPr>
              <w:spacing w:line="240" w:lineRule="auto"/>
              <w:rPr>
                <w:sz w:val="28"/>
                <w:szCs w:val="28"/>
              </w:rPr>
            </w:pPr>
            <w:r>
              <w:rPr>
                <w:rFonts w:ascii="方正黑体_GBK" w:hAnsi="方正黑体_GBK" w:eastAsia="方正黑体_GBK" w:cs="宋体"/>
                <w:sz w:val="20"/>
                <w:szCs w:val="24"/>
              </w:rPr>
              <w:t>96699</w:t>
            </w:r>
          </w:p>
        </w:tc>
      </w:tr>
      <w:tr w14:paraId="79998ADC">
        <w:trPr>
          <w:trHeight w:val="300" w:hRule="atLeast"/>
        </w:trPr>
        <w:tc>
          <w:tcPr>
            <w:tcW w:w="2100" w:type="dxa"/>
            <w:tcMar>
              <w:left w:w="120" w:type="dxa"/>
            </w:tcMar>
            <w:vAlign w:val="center"/>
          </w:tcPr>
          <w:p w14:paraId="4EE27A68">
            <w:pPr>
              <w:spacing w:line="240" w:lineRule="auto"/>
              <w:rPr>
                <w:sz w:val="28"/>
                <w:szCs w:val="28"/>
              </w:rPr>
            </w:pPr>
            <w:r>
              <w:rPr>
                <w:rFonts w:ascii="方正黑体_GBK" w:hAnsi="方正黑体_GBK" w:eastAsia="方正黑体_GBK" w:cs="宋体"/>
                <w:sz w:val="20"/>
                <w:szCs w:val="24"/>
              </w:rPr>
              <w:t>江苏滨海农村商业银行股份有限公司</w:t>
            </w:r>
          </w:p>
        </w:tc>
        <w:tc>
          <w:tcPr>
            <w:tcW w:w="4050" w:type="dxa"/>
            <w:tcMar>
              <w:left w:w="120" w:type="dxa"/>
            </w:tcMar>
            <w:vAlign w:val="center"/>
          </w:tcPr>
          <w:p w14:paraId="5EA826A3">
            <w:pPr>
              <w:spacing w:line="240" w:lineRule="auto"/>
              <w:rPr>
                <w:sz w:val="28"/>
                <w:szCs w:val="28"/>
              </w:rPr>
            </w:pPr>
            <w:r>
              <w:rPr>
                <w:rFonts w:ascii="方正黑体_GBK" w:hAnsi="方正黑体_GBK" w:eastAsia="方正黑体_GBK" w:cs="宋体"/>
                <w:sz w:val="20"/>
                <w:szCs w:val="24"/>
              </w:rPr>
              <w:t>滨海县城迎宾中路1号</w:t>
            </w:r>
          </w:p>
        </w:tc>
        <w:tc>
          <w:tcPr>
            <w:tcW w:w="1350" w:type="dxa"/>
            <w:tcMar>
              <w:left w:w="120" w:type="dxa"/>
            </w:tcMar>
            <w:vAlign w:val="center"/>
          </w:tcPr>
          <w:p w14:paraId="015C3534">
            <w:pPr>
              <w:spacing w:line="240" w:lineRule="auto"/>
              <w:rPr>
                <w:sz w:val="28"/>
                <w:szCs w:val="28"/>
              </w:rPr>
            </w:pPr>
            <w:r>
              <w:rPr>
                <w:rFonts w:ascii="方正黑体_GBK" w:hAnsi="方正黑体_GBK" w:eastAsia="方正黑体_GBK" w:cs="宋体"/>
                <w:sz w:val="20"/>
                <w:szCs w:val="24"/>
              </w:rPr>
              <w:t>96008</w:t>
            </w:r>
          </w:p>
        </w:tc>
      </w:tr>
      <w:tr w14:paraId="4C20A898">
        <w:trPr>
          <w:trHeight w:val="300" w:hRule="atLeast"/>
        </w:trPr>
        <w:tc>
          <w:tcPr>
            <w:tcW w:w="2100" w:type="dxa"/>
            <w:tcMar>
              <w:left w:w="120" w:type="dxa"/>
            </w:tcMar>
            <w:vAlign w:val="center"/>
          </w:tcPr>
          <w:p w14:paraId="1EF4D664">
            <w:pPr>
              <w:spacing w:line="240" w:lineRule="auto"/>
              <w:rPr>
                <w:sz w:val="28"/>
                <w:szCs w:val="28"/>
              </w:rPr>
            </w:pPr>
            <w:r>
              <w:rPr>
                <w:rFonts w:ascii="方正黑体_GBK" w:hAnsi="方正黑体_GBK" w:eastAsia="方正黑体_GBK" w:cs="宋体"/>
                <w:sz w:val="20"/>
                <w:szCs w:val="24"/>
              </w:rPr>
              <w:t>江苏金湖农村商业银行股份有限公司</w:t>
            </w:r>
          </w:p>
        </w:tc>
        <w:tc>
          <w:tcPr>
            <w:tcW w:w="4050" w:type="dxa"/>
            <w:tcMar>
              <w:left w:w="120" w:type="dxa"/>
            </w:tcMar>
            <w:vAlign w:val="center"/>
          </w:tcPr>
          <w:p w14:paraId="37FBFC33">
            <w:pPr>
              <w:spacing w:line="240" w:lineRule="auto"/>
              <w:rPr>
                <w:sz w:val="28"/>
                <w:szCs w:val="28"/>
              </w:rPr>
            </w:pPr>
            <w:r>
              <w:rPr>
                <w:rFonts w:ascii="方正黑体_GBK" w:hAnsi="方正黑体_GBK" w:eastAsia="方正黑体_GBK" w:cs="宋体"/>
                <w:sz w:val="20"/>
                <w:szCs w:val="24"/>
              </w:rPr>
              <w:t>江苏省金湖县黎城街道神华大道299号</w:t>
            </w:r>
          </w:p>
        </w:tc>
        <w:tc>
          <w:tcPr>
            <w:tcW w:w="1350" w:type="dxa"/>
            <w:tcMar>
              <w:left w:w="120" w:type="dxa"/>
            </w:tcMar>
            <w:vAlign w:val="center"/>
          </w:tcPr>
          <w:p w14:paraId="48720036">
            <w:pPr>
              <w:spacing w:line="240" w:lineRule="auto"/>
              <w:rPr>
                <w:sz w:val="28"/>
                <w:szCs w:val="28"/>
              </w:rPr>
            </w:pPr>
            <w:r>
              <w:rPr>
                <w:rFonts w:ascii="方正黑体_GBK" w:hAnsi="方正黑体_GBK" w:eastAsia="方正黑体_GBK" w:cs="宋体"/>
                <w:sz w:val="20"/>
                <w:szCs w:val="24"/>
              </w:rPr>
              <w:t>96008</w:t>
            </w:r>
          </w:p>
        </w:tc>
      </w:tr>
      <w:tr w14:paraId="07AC0FEF">
        <w:trPr>
          <w:trHeight w:val="300" w:hRule="atLeast"/>
        </w:trPr>
        <w:tc>
          <w:tcPr>
            <w:tcW w:w="2100" w:type="dxa"/>
            <w:tcMar>
              <w:left w:w="120" w:type="dxa"/>
            </w:tcMar>
            <w:vAlign w:val="center"/>
          </w:tcPr>
          <w:p w14:paraId="198306C0">
            <w:pPr>
              <w:spacing w:line="240" w:lineRule="auto"/>
              <w:rPr>
                <w:sz w:val="28"/>
                <w:szCs w:val="28"/>
              </w:rPr>
            </w:pPr>
            <w:r>
              <w:rPr>
                <w:rFonts w:ascii="方正黑体_GBK" w:hAnsi="方正黑体_GBK" w:eastAsia="方正黑体_GBK" w:cs="宋体"/>
                <w:sz w:val="20"/>
                <w:szCs w:val="24"/>
              </w:rPr>
              <w:t>苏州银行股份有限公司</w:t>
            </w:r>
          </w:p>
        </w:tc>
        <w:tc>
          <w:tcPr>
            <w:tcW w:w="4050" w:type="dxa"/>
            <w:tcMar>
              <w:left w:w="120" w:type="dxa"/>
            </w:tcMar>
            <w:vAlign w:val="center"/>
          </w:tcPr>
          <w:p w14:paraId="1080FA54">
            <w:pPr>
              <w:spacing w:line="240" w:lineRule="auto"/>
              <w:rPr>
                <w:sz w:val="28"/>
                <w:szCs w:val="28"/>
              </w:rPr>
            </w:pPr>
            <w:r>
              <w:rPr>
                <w:rFonts w:ascii="方正黑体_GBK" w:hAnsi="方正黑体_GBK" w:eastAsia="方正黑体_GBK" w:cs="宋体"/>
                <w:sz w:val="20"/>
                <w:szCs w:val="24"/>
              </w:rPr>
              <w:t>中国（江苏）自由贸易试验区苏州片区苏州工业园区钟园路728号</w:t>
            </w:r>
          </w:p>
        </w:tc>
        <w:tc>
          <w:tcPr>
            <w:tcW w:w="1350" w:type="dxa"/>
            <w:tcMar>
              <w:left w:w="120" w:type="dxa"/>
            </w:tcMar>
            <w:vAlign w:val="center"/>
          </w:tcPr>
          <w:p w14:paraId="49E9A3C6">
            <w:pPr>
              <w:spacing w:line="240" w:lineRule="auto"/>
              <w:rPr>
                <w:sz w:val="28"/>
                <w:szCs w:val="28"/>
              </w:rPr>
            </w:pPr>
            <w:r>
              <w:rPr>
                <w:rFonts w:ascii="方正黑体_GBK" w:hAnsi="方正黑体_GBK" w:eastAsia="方正黑体_GBK" w:cs="宋体"/>
                <w:sz w:val="20"/>
                <w:szCs w:val="24"/>
              </w:rPr>
              <w:t>0512-96067</w:t>
            </w:r>
          </w:p>
        </w:tc>
      </w:tr>
      <w:tr w14:paraId="6160A13A">
        <w:trPr>
          <w:trHeight w:val="300" w:hRule="atLeast"/>
        </w:trPr>
        <w:tc>
          <w:tcPr>
            <w:tcW w:w="2100" w:type="dxa"/>
            <w:tcMar>
              <w:left w:w="120" w:type="dxa"/>
            </w:tcMar>
            <w:vAlign w:val="center"/>
          </w:tcPr>
          <w:p w14:paraId="5F623126">
            <w:pPr>
              <w:spacing w:line="240" w:lineRule="auto"/>
              <w:rPr>
                <w:sz w:val="28"/>
                <w:szCs w:val="28"/>
              </w:rPr>
            </w:pPr>
            <w:r>
              <w:rPr>
                <w:rFonts w:ascii="方正黑体_GBK" w:hAnsi="方正黑体_GBK" w:eastAsia="方正黑体_GBK" w:cs="宋体"/>
                <w:sz w:val="20"/>
                <w:szCs w:val="24"/>
              </w:rPr>
              <w:t>蒙商银行股份有限公司</w:t>
            </w:r>
          </w:p>
        </w:tc>
        <w:tc>
          <w:tcPr>
            <w:tcW w:w="4050" w:type="dxa"/>
            <w:tcMar>
              <w:left w:w="120" w:type="dxa"/>
            </w:tcMar>
            <w:vAlign w:val="center"/>
          </w:tcPr>
          <w:p w14:paraId="4A39C50D">
            <w:pPr>
              <w:spacing w:line="240" w:lineRule="auto"/>
              <w:rPr>
                <w:sz w:val="28"/>
                <w:szCs w:val="28"/>
              </w:rPr>
            </w:pPr>
            <w:r>
              <w:rPr>
                <w:rFonts w:ascii="方正黑体_GBK" w:hAnsi="方正黑体_GBK" w:eastAsia="方正黑体_GBK" w:cs="宋体"/>
                <w:sz w:val="20"/>
                <w:szCs w:val="24"/>
              </w:rPr>
              <w:t>内蒙古自治区包头市九原区赛汗街道办事处建华南路2号A座</w:t>
            </w:r>
          </w:p>
        </w:tc>
        <w:tc>
          <w:tcPr>
            <w:tcW w:w="1350" w:type="dxa"/>
            <w:tcMar>
              <w:left w:w="120" w:type="dxa"/>
            </w:tcMar>
            <w:vAlign w:val="center"/>
          </w:tcPr>
          <w:p w14:paraId="6E7E0139">
            <w:pPr>
              <w:spacing w:line="240" w:lineRule="auto"/>
              <w:rPr>
                <w:sz w:val="28"/>
                <w:szCs w:val="28"/>
              </w:rPr>
            </w:pPr>
            <w:r>
              <w:rPr>
                <w:rFonts w:ascii="方正黑体_GBK" w:hAnsi="方正黑体_GBK" w:eastAsia="方正黑体_GBK" w:cs="宋体"/>
                <w:sz w:val="20"/>
                <w:szCs w:val="24"/>
              </w:rPr>
              <w:t>0472-2658888</w:t>
            </w:r>
          </w:p>
        </w:tc>
      </w:tr>
      <w:tr w14:paraId="0129233B">
        <w:trPr>
          <w:trHeight w:val="300" w:hRule="atLeast"/>
        </w:trPr>
        <w:tc>
          <w:tcPr>
            <w:tcW w:w="2100" w:type="dxa"/>
            <w:tcMar>
              <w:left w:w="120" w:type="dxa"/>
            </w:tcMar>
            <w:vAlign w:val="center"/>
          </w:tcPr>
          <w:p w14:paraId="4465F9F2">
            <w:pPr>
              <w:spacing w:line="240" w:lineRule="auto"/>
              <w:rPr>
                <w:sz w:val="28"/>
                <w:szCs w:val="28"/>
              </w:rPr>
            </w:pPr>
            <w:r>
              <w:rPr>
                <w:rFonts w:ascii="方正黑体_GBK" w:hAnsi="方正黑体_GBK" w:eastAsia="方正黑体_GBK" w:cs="宋体"/>
                <w:sz w:val="20"/>
                <w:szCs w:val="24"/>
              </w:rPr>
              <w:t>富邦华一银行有限公司</w:t>
            </w:r>
          </w:p>
        </w:tc>
        <w:tc>
          <w:tcPr>
            <w:tcW w:w="4050" w:type="dxa"/>
            <w:tcMar>
              <w:left w:w="120" w:type="dxa"/>
            </w:tcMar>
            <w:vAlign w:val="center"/>
          </w:tcPr>
          <w:p w14:paraId="3A17BCF6">
            <w:pPr>
              <w:spacing w:line="240" w:lineRule="auto"/>
              <w:rPr>
                <w:sz w:val="28"/>
                <w:szCs w:val="28"/>
              </w:rPr>
            </w:pPr>
            <w:r>
              <w:rPr>
                <w:rFonts w:ascii="方正黑体_GBK" w:hAnsi="方正黑体_GBK" w:eastAsia="方正黑体_GBK" w:cs="宋体"/>
                <w:sz w:val="20"/>
                <w:szCs w:val="24"/>
              </w:rPr>
              <w:t>中国（上海）自由贸易试验区世纪大道1168号A座101室、18楼、19楼及20楼</w:t>
            </w:r>
          </w:p>
        </w:tc>
        <w:tc>
          <w:tcPr>
            <w:tcW w:w="1350" w:type="dxa"/>
            <w:tcMar>
              <w:left w:w="120" w:type="dxa"/>
            </w:tcMar>
            <w:vAlign w:val="center"/>
          </w:tcPr>
          <w:p w14:paraId="6ED8C067">
            <w:pPr>
              <w:spacing w:line="240" w:lineRule="auto"/>
              <w:rPr>
                <w:sz w:val="28"/>
                <w:szCs w:val="28"/>
              </w:rPr>
            </w:pPr>
            <w:r>
              <w:rPr>
                <w:rFonts w:ascii="方正黑体_GBK" w:hAnsi="方正黑体_GBK" w:eastAsia="方正黑体_GBK" w:cs="宋体"/>
                <w:sz w:val="20"/>
                <w:szCs w:val="24"/>
              </w:rPr>
              <w:t>021-962811</w:t>
            </w:r>
          </w:p>
        </w:tc>
      </w:tr>
      <w:tr w14:paraId="157275C2">
        <w:trPr>
          <w:trHeight w:val="300" w:hRule="atLeast"/>
        </w:trPr>
        <w:tc>
          <w:tcPr>
            <w:tcW w:w="2100" w:type="dxa"/>
            <w:tcMar>
              <w:left w:w="120" w:type="dxa"/>
            </w:tcMar>
            <w:vAlign w:val="center"/>
          </w:tcPr>
          <w:p w14:paraId="340F0238">
            <w:pPr>
              <w:spacing w:line="240" w:lineRule="auto"/>
              <w:rPr>
                <w:sz w:val="28"/>
                <w:szCs w:val="28"/>
              </w:rPr>
            </w:pPr>
            <w:r>
              <w:rPr>
                <w:rFonts w:ascii="方正黑体_GBK" w:hAnsi="方正黑体_GBK" w:eastAsia="方正黑体_GBK" w:cs="宋体"/>
                <w:sz w:val="20"/>
                <w:szCs w:val="24"/>
              </w:rPr>
              <w:t>宁波通商银行股份有限公司</w:t>
            </w:r>
          </w:p>
        </w:tc>
        <w:tc>
          <w:tcPr>
            <w:tcW w:w="4050" w:type="dxa"/>
            <w:tcMar>
              <w:left w:w="120" w:type="dxa"/>
            </w:tcMar>
            <w:vAlign w:val="center"/>
          </w:tcPr>
          <w:p w14:paraId="410C8D5F">
            <w:pPr>
              <w:spacing w:line="240" w:lineRule="auto"/>
              <w:rPr>
                <w:sz w:val="28"/>
                <w:szCs w:val="28"/>
              </w:rPr>
            </w:pPr>
            <w:r>
              <w:rPr>
                <w:rFonts w:ascii="方正黑体_GBK" w:hAnsi="方正黑体_GBK" w:eastAsia="方正黑体_GBK" w:cs="宋体"/>
                <w:sz w:val="20"/>
                <w:szCs w:val="24"/>
              </w:rPr>
              <w:t>浙江省宁波市鄞州区民安东路337号</w:t>
            </w:r>
          </w:p>
        </w:tc>
        <w:tc>
          <w:tcPr>
            <w:tcW w:w="1350" w:type="dxa"/>
            <w:tcMar>
              <w:left w:w="120" w:type="dxa"/>
            </w:tcMar>
            <w:vAlign w:val="center"/>
          </w:tcPr>
          <w:p w14:paraId="1BD904E1">
            <w:pPr>
              <w:spacing w:line="240" w:lineRule="auto"/>
              <w:rPr>
                <w:sz w:val="28"/>
                <w:szCs w:val="28"/>
              </w:rPr>
            </w:pPr>
            <w:r>
              <w:rPr>
                <w:rFonts w:ascii="方正黑体_GBK" w:hAnsi="方正黑体_GBK" w:eastAsia="方正黑体_GBK" w:cs="宋体"/>
                <w:sz w:val="20"/>
                <w:szCs w:val="24"/>
              </w:rPr>
              <w:t>400-916-6666</w:t>
            </w:r>
          </w:p>
        </w:tc>
      </w:tr>
      <w:tr w14:paraId="3485BA21">
        <w:trPr>
          <w:trHeight w:val="300" w:hRule="atLeast"/>
        </w:trPr>
        <w:tc>
          <w:tcPr>
            <w:tcW w:w="2100" w:type="dxa"/>
            <w:tcMar>
              <w:left w:w="120" w:type="dxa"/>
            </w:tcMar>
            <w:vAlign w:val="center"/>
          </w:tcPr>
          <w:p w14:paraId="21575FA3">
            <w:pPr>
              <w:spacing w:line="240" w:lineRule="auto"/>
              <w:rPr>
                <w:sz w:val="28"/>
                <w:szCs w:val="28"/>
              </w:rPr>
            </w:pPr>
            <w:r>
              <w:rPr>
                <w:rFonts w:ascii="方正黑体_GBK" w:hAnsi="方正黑体_GBK" w:eastAsia="方正黑体_GBK" w:cs="宋体"/>
                <w:sz w:val="20"/>
                <w:szCs w:val="24"/>
              </w:rPr>
              <w:t>日照银行股份有限公司</w:t>
            </w:r>
          </w:p>
        </w:tc>
        <w:tc>
          <w:tcPr>
            <w:tcW w:w="4050" w:type="dxa"/>
            <w:tcMar>
              <w:left w:w="120" w:type="dxa"/>
            </w:tcMar>
            <w:vAlign w:val="center"/>
          </w:tcPr>
          <w:p w14:paraId="3F0C73A4">
            <w:pPr>
              <w:spacing w:line="240" w:lineRule="auto"/>
              <w:rPr>
                <w:sz w:val="28"/>
                <w:szCs w:val="28"/>
              </w:rPr>
            </w:pPr>
            <w:r>
              <w:rPr>
                <w:rFonts w:ascii="方正黑体_GBK" w:hAnsi="方正黑体_GBK" w:eastAsia="方正黑体_GBK" w:cs="宋体"/>
                <w:sz w:val="20"/>
                <w:szCs w:val="24"/>
              </w:rPr>
              <w:t>日照市烟台路197号</w:t>
            </w:r>
          </w:p>
        </w:tc>
        <w:tc>
          <w:tcPr>
            <w:tcW w:w="1350" w:type="dxa"/>
            <w:tcMar>
              <w:left w:w="120" w:type="dxa"/>
            </w:tcMar>
            <w:vAlign w:val="center"/>
          </w:tcPr>
          <w:p w14:paraId="25DB8ADC">
            <w:pPr>
              <w:spacing w:line="240" w:lineRule="auto"/>
              <w:rPr>
                <w:sz w:val="28"/>
                <w:szCs w:val="28"/>
              </w:rPr>
            </w:pPr>
            <w:r>
              <w:rPr>
                <w:rFonts w:ascii="方正黑体_GBK" w:hAnsi="方正黑体_GBK" w:eastAsia="方正黑体_GBK" w:cs="宋体"/>
                <w:sz w:val="20"/>
                <w:szCs w:val="24"/>
              </w:rPr>
              <w:t>0633-8081110</w:t>
            </w:r>
          </w:p>
        </w:tc>
      </w:tr>
      <w:tr w14:paraId="2CF4E480">
        <w:trPr>
          <w:trHeight w:val="300" w:hRule="atLeast"/>
        </w:trPr>
        <w:tc>
          <w:tcPr>
            <w:tcW w:w="2100" w:type="dxa"/>
            <w:tcMar>
              <w:left w:w="120" w:type="dxa"/>
            </w:tcMar>
            <w:vAlign w:val="center"/>
          </w:tcPr>
          <w:p w14:paraId="2968F4BA">
            <w:pPr>
              <w:spacing w:line="240" w:lineRule="auto"/>
              <w:rPr>
                <w:sz w:val="28"/>
                <w:szCs w:val="28"/>
              </w:rPr>
            </w:pPr>
            <w:r>
              <w:rPr>
                <w:rFonts w:ascii="方正黑体_GBK" w:hAnsi="方正黑体_GBK" w:eastAsia="方正黑体_GBK" w:cs="宋体"/>
                <w:sz w:val="20"/>
                <w:szCs w:val="24"/>
              </w:rPr>
              <w:t>广州银行股份有限公司</w:t>
            </w:r>
          </w:p>
        </w:tc>
        <w:tc>
          <w:tcPr>
            <w:tcW w:w="4050" w:type="dxa"/>
            <w:tcMar>
              <w:left w:w="120" w:type="dxa"/>
            </w:tcMar>
            <w:vAlign w:val="center"/>
          </w:tcPr>
          <w:p w14:paraId="330F5EA8">
            <w:pPr>
              <w:spacing w:line="240" w:lineRule="auto"/>
              <w:rPr>
                <w:sz w:val="28"/>
                <w:szCs w:val="28"/>
              </w:rPr>
            </w:pPr>
            <w:r>
              <w:rPr>
                <w:rFonts w:ascii="方正黑体_GBK" w:hAnsi="方正黑体_GBK" w:eastAsia="方正黑体_GBK" w:cs="宋体"/>
                <w:sz w:val="20"/>
                <w:szCs w:val="24"/>
              </w:rPr>
              <w:t>广州市天河区珠江东路30号</w:t>
            </w:r>
          </w:p>
        </w:tc>
        <w:tc>
          <w:tcPr>
            <w:tcW w:w="1350" w:type="dxa"/>
            <w:tcMar>
              <w:left w:w="120" w:type="dxa"/>
            </w:tcMar>
            <w:vAlign w:val="center"/>
          </w:tcPr>
          <w:p w14:paraId="090519F0">
            <w:pPr>
              <w:spacing w:line="240" w:lineRule="auto"/>
              <w:rPr>
                <w:sz w:val="28"/>
                <w:szCs w:val="28"/>
              </w:rPr>
            </w:pPr>
            <w:r>
              <w:rPr>
                <w:rFonts w:ascii="方正黑体_GBK" w:hAnsi="方正黑体_GBK" w:eastAsia="方正黑体_GBK" w:cs="宋体"/>
                <w:sz w:val="20"/>
                <w:szCs w:val="24"/>
              </w:rPr>
              <w:t>400-83-96699</w:t>
            </w:r>
          </w:p>
        </w:tc>
      </w:tr>
      <w:tr w14:paraId="241AA25E">
        <w:trPr>
          <w:trHeight w:val="300" w:hRule="atLeast"/>
        </w:trPr>
        <w:tc>
          <w:tcPr>
            <w:tcW w:w="2100" w:type="dxa"/>
            <w:tcMar>
              <w:left w:w="120" w:type="dxa"/>
            </w:tcMar>
            <w:vAlign w:val="center"/>
          </w:tcPr>
          <w:p w14:paraId="5FF17BA9">
            <w:pPr>
              <w:spacing w:line="240" w:lineRule="auto"/>
              <w:rPr>
                <w:sz w:val="28"/>
                <w:szCs w:val="28"/>
              </w:rPr>
            </w:pPr>
            <w:r>
              <w:rPr>
                <w:rFonts w:ascii="方正黑体_GBK" w:hAnsi="方正黑体_GBK" w:eastAsia="方正黑体_GBK" w:cs="宋体"/>
                <w:sz w:val="20"/>
                <w:szCs w:val="24"/>
              </w:rPr>
              <w:t>无锡农村商业银行股份有限公司</w:t>
            </w:r>
          </w:p>
        </w:tc>
        <w:tc>
          <w:tcPr>
            <w:tcW w:w="4050" w:type="dxa"/>
            <w:tcMar>
              <w:left w:w="120" w:type="dxa"/>
            </w:tcMar>
            <w:vAlign w:val="center"/>
          </w:tcPr>
          <w:p w14:paraId="447FFF40">
            <w:pPr>
              <w:spacing w:line="240" w:lineRule="auto"/>
              <w:rPr>
                <w:sz w:val="28"/>
                <w:szCs w:val="28"/>
              </w:rPr>
            </w:pPr>
            <w:r>
              <w:rPr>
                <w:rFonts w:ascii="方正黑体_GBK" w:hAnsi="方正黑体_GBK" w:eastAsia="方正黑体_GBK" w:cs="宋体"/>
                <w:sz w:val="20"/>
                <w:szCs w:val="24"/>
              </w:rPr>
              <w:t>江苏省无锡市锡山区延庆街11号、丹山路66-3、 66-1301、 66-1401号</w:t>
            </w:r>
          </w:p>
        </w:tc>
        <w:tc>
          <w:tcPr>
            <w:tcW w:w="1350" w:type="dxa"/>
            <w:tcMar>
              <w:left w:w="120" w:type="dxa"/>
            </w:tcMar>
            <w:vAlign w:val="center"/>
          </w:tcPr>
          <w:p w14:paraId="3B44036B">
            <w:pPr>
              <w:spacing w:line="240" w:lineRule="auto"/>
              <w:rPr>
                <w:sz w:val="28"/>
                <w:szCs w:val="28"/>
              </w:rPr>
            </w:pPr>
            <w:r>
              <w:rPr>
                <w:rFonts w:ascii="方正黑体_GBK" w:hAnsi="方正黑体_GBK" w:eastAsia="方正黑体_GBK" w:cs="宋体"/>
                <w:sz w:val="20"/>
                <w:szCs w:val="24"/>
              </w:rPr>
              <w:t>0510-96058</w:t>
            </w:r>
          </w:p>
        </w:tc>
      </w:tr>
      <w:tr w14:paraId="5DC5D30E">
        <w:trPr>
          <w:trHeight w:val="300" w:hRule="atLeast"/>
        </w:trPr>
        <w:tc>
          <w:tcPr>
            <w:tcW w:w="2100" w:type="dxa"/>
            <w:tcMar>
              <w:left w:w="120" w:type="dxa"/>
            </w:tcMar>
            <w:vAlign w:val="center"/>
          </w:tcPr>
          <w:p w14:paraId="28F0FE61">
            <w:pPr>
              <w:spacing w:line="240" w:lineRule="auto"/>
              <w:rPr>
                <w:sz w:val="28"/>
                <w:szCs w:val="28"/>
              </w:rPr>
            </w:pPr>
            <w:r>
              <w:rPr>
                <w:rFonts w:ascii="方正黑体_GBK" w:hAnsi="方正黑体_GBK" w:eastAsia="方正黑体_GBK" w:cs="宋体"/>
                <w:sz w:val="20"/>
                <w:szCs w:val="24"/>
              </w:rPr>
              <w:t>石嘴山银行股份有限公司</w:t>
            </w:r>
          </w:p>
        </w:tc>
        <w:tc>
          <w:tcPr>
            <w:tcW w:w="4050" w:type="dxa"/>
            <w:tcMar>
              <w:left w:w="120" w:type="dxa"/>
            </w:tcMar>
            <w:vAlign w:val="center"/>
          </w:tcPr>
          <w:p w14:paraId="4E933BBF">
            <w:pPr>
              <w:spacing w:line="240" w:lineRule="auto"/>
              <w:rPr>
                <w:sz w:val="28"/>
                <w:szCs w:val="28"/>
              </w:rPr>
            </w:pPr>
            <w:r>
              <w:rPr>
                <w:rFonts w:ascii="方正黑体_GBK" w:hAnsi="方正黑体_GBK" w:eastAsia="方正黑体_GBK" w:cs="宋体"/>
                <w:sz w:val="20"/>
                <w:szCs w:val="24"/>
              </w:rPr>
              <w:t>宁夏回族自治区石嘴山市大武口区朝阳西街 39 号</w:t>
            </w:r>
          </w:p>
        </w:tc>
        <w:tc>
          <w:tcPr>
            <w:tcW w:w="1350" w:type="dxa"/>
            <w:tcMar>
              <w:left w:w="120" w:type="dxa"/>
            </w:tcMar>
            <w:vAlign w:val="center"/>
          </w:tcPr>
          <w:p w14:paraId="74D50C9B">
            <w:pPr>
              <w:spacing w:line="240" w:lineRule="auto"/>
              <w:rPr>
                <w:sz w:val="28"/>
                <w:szCs w:val="28"/>
              </w:rPr>
            </w:pPr>
            <w:r>
              <w:rPr>
                <w:rFonts w:ascii="方正黑体_GBK" w:hAnsi="方正黑体_GBK" w:eastAsia="方正黑体_GBK" w:cs="宋体"/>
                <w:sz w:val="20"/>
                <w:szCs w:val="24"/>
              </w:rPr>
              <w:t>0951-96789</w:t>
            </w:r>
          </w:p>
        </w:tc>
      </w:tr>
      <w:tr w14:paraId="4FB16225">
        <w:trPr>
          <w:trHeight w:val="300" w:hRule="atLeast"/>
        </w:trPr>
        <w:tc>
          <w:tcPr>
            <w:tcW w:w="2100" w:type="dxa"/>
            <w:tcMar>
              <w:left w:w="120" w:type="dxa"/>
            </w:tcMar>
            <w:vAlign w:val="center"/>
          </w:tcPr>
          <w:p w14:paraId="2E1FCC14">
            <w:pPr>
              <w:spacing w:line="240" w:lineRule="auto"/>
              <w:rPr>
                <w:sz w:val="28"/>
                <w:szCs w:val="28"/>
              </w:rPr>
            </w:pPr>
            <w:r>
              <w:rPr>
                <w:rFonts w:ascii="方正黑体_GBK" w:hAnsi="方正黑体_GBK" w:eastAsia="方正黑体_GBK" w:cs="宋体"/>
                <w:sz w:val="20"/>
                <w:szCs w:val="24"/>
              </w:rPr>
              <w:t>无锡锡商银行股份有限公司</w:t>
            </w:r>
          </w:p>
        </w:tc>
        <w:tc>
          <w:tcPr>
            <w:tcW w:w="4050" w:type="dxa"/>
            <w:tcMar>
              <w:left w:w="120" w:type="dxa"/>
            </w:tcMar>
            <w:vAlign w:val="center"/>
          </w:tcPr>
          <w:p w14:paraId="4CAAEAE9">
            <w:pPr>
              <w:spacing w:line="240" w:lineRule="auto"/>
              <w:rPr>
                <w:sz w:val="28"/>
                <w:szCs w:val="28"/>
              </w:rPr>
            </w:pPr>
            <w:r>
              <w:rPr>
                <w:rFonts w:ascii="方正黑体_GBK" w:hAnsi="方正黑体_GBK" w:eastAsia="方正黑体_GBK" w:cs="宋体"/>
                <w:sz w:val="20"/>
                <w:szCs w:val="24"/>
              </w:rPr>
              <w:t>江苏省无锡市锡山区安镇街道东翔路578号红豆财富广场1-2层、5-11层</w:t>
            </w:r>
          </w:p>
        </w:tc>
        <w:tc>
          <w:tcPr>
            <w:tcW w:w="1350" w:type="dxa"/>
            <w:tcMar>
              <w:left w:w="120" w:type="dxa"/>
            </w:tcMar>
            <w:vAlign w:val="center"/>
          </w:tcPr>
          <w:p w14:paraId="77E27452">
            <w:pPr>
              <w:spacing w:line="240" w:lineRule="auto"/>
              <w:rPr>
                <w:sz w:val="28"/>
                <w:szCs w:val="28"/>
              </w:rPr>
            </w:pPr>
            <w:r>
              <w:rPr>
                <w:rFonts w:ascii="方正黑体_GBK" w:hAnsi="方正黑体_GBK" w:eastAsia="方正黑体_GBK" w:cs="宋体"/>
                <w:sz w:val="20"/>
                <w:szCs w:val="24"/>
              </w:rPr>
              <w:t>400-888-0555</w:t>
            </w:r>
          </w:p>
        </w:tc>
      </w:tr>
      <w:tr w14:paraId="7DAC3B2D">
        <w:trPr>
          <w:trHeight w:val="300" w:hRule="atLeast"/>
        </w:trPr>
        <w:tc>
          <w:tcPr>
            <w:tcW w:w="2100" w:type="dxa"/>
            <w:tcMar>
              <w:left w:w="120" w:type="dxa"/>
            </w:tcMar>
            <w:vAlign w:val="center"/>
          </w:tcPr>
          <w:p w14:paraId="1436EFD0">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050" w:type="dxa"/>
            <w:tcMar>
              <w:left w:w="120" w:type="dxa"/>
            </w:tcMar>
            <w:vAlign w:val="center"/>
          </w:tcPr>
          <w:p w14:paraId="4001E728">
            <w:pPr>
              <w:spacing w:line="240" w:lineRule="auto"/>
              <w:rPr>
                <w:sz w:val="28"/>
                <w:szCs w:val="28"/>
              </w:rPr>
            </w:pPr>
            <w:r>
              <w:rPr>
                <w:rFonts w:ascii="方正黑体_GBK" w:hAnsi="方正黑体_GBK" w:eastAsia="方正黑体_GBK" w:cs="宋体"/>
                <w:sz w:val="20"/>
                <w:szCs w:val="24"/>
              </w:rPr>
              <w:t>镇江市丹阳金陵西路152号</w:t>
            </w:r>
          </w:p>
        </w:tc>
        <w:tc>
          <w:tcPr>
            <w:tcW w:w="1350" w:type="dxa"/>
            <w:tcMar>
              <w:left w:w="120" w:type="dxa"/>
            </w:tcMar>
            <w:vAlign w:val="center"/>
          </w:tcPr>
          <w:p w14:paraId="648241CF">
            <w:pPr>
              <w:spacing w:line="240" w:lineRule="auto"/>
              <w:rPr>
                <w:sz w:val="28"/>
                <w:szCs w:val="28"/>
              </w:rPr>
            </w:pPr>
            <w:r>
              <w:rPr>
                <w:rFonts w:ascii="方正黑体_GBK" w:hAnsi="方正黑体_GBK" w:eastAsia="方正黑体_GBK" w:cs="宋体"/>
                <w:sz w:val="20"/>
                <w:szCs w:val="24"/>
              </w:rPr>
              <w:t>96008</w:t>
            </w:r>
          </w:p>
        </w:tc>
      </w:tr>
      <w:tr w14:paraId="48C654B3">
        <w:trPr>
          <w:trHeight w:val="300" w:hRule="atLeast"/>
        </w:trPr>
        <w:tc>
          <w:tcPr>
            <w:tcW w:w="2100" w:type="dxa"/>
            <w:tcMar>
              <w:left w:w="120" w:type="dxa"/>
            </w:tcMar>
            <w:vAlign w:val="center"/>
          </w:tcPr>
          <w:p w14:paraId="19097019">
            <w:pPr>
              <w:spacing w:line="240" w:lineRule="auto"/>
              <w:rPr>
                <w:sz w:val="28"/>
                <w:szCs w:val="28"/>
              </w:rPr>
            </w:pPr>
            <w:r>
              <w:rPr>
                <w:rFonts w:ascii="方正黑体_GBK" w:hAnsi="方正黑体_GBK" w:eastAsia="方正黑体_GBK" w:cs="宋体"/>
                <w:sz w:val="20"/>
                <w:szCs w:val="24"/>
              </w:rPr>
              <w:t>江苏宜兴农村商业银行股份有限公司</w:t>
            </w:r>
          </w:p>
        </w:tc>
        <w:tc>
          <w:tcPr>
            <w:tcW w:w="4050" w:type="dxa"/>
            <w:tcMar>
              <w:left w:w="120" w:type="dxa"/>
            </w:tcMar>
            <w:vAlign w:val="center"/>
          </w:tcPr>
          <w:p w14:paraId="37CA5747">
            <w:pPr>
              <w:spacing w:line="240" w:lineRule="auto"/>
              <w:rPr>
                <w:sz w:val="28"/>
                <w:szCs w:val="28"/>
              </w:rPr>
            </w:pPr>
            <w:r>
              <w:rPr>
                <w:rFonts w:ascii="方正黑体_GBK" w:hAnsi="方正黑体_GBK" w:eastAsia="方正黑体_GBK" w:cs="宋体"/>
                <w:sz w:val="20"/>
                <w:szCs w:val="24"/>
              </w:rPr>
              <w:t>江苏省宜兴市宜城街道解放东路579号</w:t>
            </w:r>
          </w:p>
        </w:tc>
        <w:tc>
          <w:tcPr>
            <w:tcW w:w="1350" w:type="dxa"/>
            <w:tcMar>
              <w:left w:w="120" w:type="dxa"/>
            </w:tcMar>
            <w:vAlign w:val="center"/>
          </w:tcPr>
          <w:p w14:paraId="7E9DD4DD">
            <w:pPr>
              <w:spacing w:line="240" w:lineRule="auto"/>
              <w:rPr>
                <w:sz w:val="28"/>
                <w:szCs w:val="28"/>
              </w:rPr>
            </w:pPr>
            <w:r>
              <w:rPr>
                <w:rFonts w:ascii="方正黑体_GBK" w:hAnsi="方正黑体_GBK" w:eastAsia="方正黑体_GBK" w:cs="宋体"/>
                <w:sz w:val="20"/>
                <w:szCs w:val="24"/>
              </w:rPr>
              <w:t>96008</w:t>
            </w:r>
          </w:p>
        </w:tc>
      </w:tr>
      <w:tr w14:paraId="3D70B2F7">
        <w:trPr>
          <w:trHeight w:val="300" w:hRule="atLeast"/>
        </w:trPr>
        <w:tc>
          <w:tcPr>
            <w:tcW w:w="2100" w:type="dxa"/>
            <w:tcMar>
              <w:left w:w="120" w:type="dxa"/>
            </w:tcMar>
            <w:vAlign w:val="center"/>
          </w:tcPr>
          <w:p w14:paraId="198C74BF">
            <w:pPr>
              <w:spacing w:line="240" w:lineRule="auto"/>
              <w:rPr>
                <w:sz w:val="28"/>
                <w:szCs w:val="28"/>
              </w:rPr>
            </w:pPr>
            <w:r>
              <w:rPr>
                <w:rFonts w:ascii="方正黑体_GBK" w:hAnsi="方正黑体_GBK" w:eastAsia="方正黑体_GBK" w:cs="宋体"/>
                <w:sz w:val="20"/>
                <w:szCs w:val="24"/>
              </w:rPr>
              <w:t>江苏高淳农村商业银行股份有限公司</w:t>
            </w:r>
          </w:p>
        </w:tc>
        <w:tc>
          <w:tcPr>
            <w:tcW w:w="4050" w:type="dxa"/>
            <w:tcMar>
              <w:left w:w="120" w:type="dxa"/>
            </w:tcMar>
            <w:vAlign w:val="center"/>
          </w:tcPr>
          <w:p w14:paraId="2D101F0F">
            <w:pPr>
              <w:spacing w:line="240" w:lineRule="auto"/>
              <w:rPr>
                <w:sz w:val="28"/>
                <w:szCs w:val="28"/>
              </w:rPr>
            </w:pPr>
            <w:r>
              <w:rPr>
                <w:rFonts w:ascii="方正黑体_GBK" w:hAnsi="方正黑体_GBK" w:eastAsia="方正黑体_GBK" w:cs="宋体"/>
                <w:sz w:val="20"/>
                <w:szCs w:val="24"/>
              </w:rPr>
              <w:t>南京市高淳区淳溪镇宝塔路123号</w:t>
            </w:r>
          </w:p>
        </w:tc>
        <w:tc>
          <w:tcPr>
            <w:tcW w:w="1350" w:type="dxa"/>
            <w:tcMar>
              <w:left w:w="120" w:type="dxa"/>
            </w:tcMar>
            <w:vAlign w:val="center"/>
          </w:tcPr>
          <w:p w14:paraId="4CB8D300">
            <w:pPr>
              <w:spacing w:line="240" w:lineRule="auto"/>
              <w:rPr>
                <w:sz w:val="28"/>
                <w:szCs w:val="28"/>
              </w:rPr>
            </w:pPr>
            <w:r>
              <w:rPr>
                <w:rFonts w:ascii="方正黑体_GBK" w:hAnsi="方正黑体_GBK" w:eastAsia="方正黑体_GBK" w:cs="宋体"/>
                <w:sz w:val="20"/>
                <w:szCs w:val="24"/>
              </w:rPr>
              <w:t>96008</w:t>
            </w:r>
          </w:p>
        </w:tc>
      </w:tr>
      <w:tr w14:paraId="26F5F94C">
        <w:trPr>
          <w:trHeight w:val="300" w:hRule="atLeast"/>
        </w:trPr>
        <w:tc>
          <w:tcPr>
            <w:tcW w:w="2100" w:type="dxa"/>
            <w:tcMar>
              <w:left w:w="120" w:type="dxa"/>
            </w:tcMar>
            <w:vAlign w:val="center"/>
          </w:tcPr>
          <w:p w14:paraId="74C9F750">
            <w:pPr>
              <w:spacing w:line="240" w:lineRule="auto"/>
              <w:rPr>
                <w:sz w:val="28"/>
                <w:szCs w:val="28"/>
              </w:rPr>
            </w:pPr>
            <w:r>
              <w:rPr>
                <w:rFonts w:ascii="方正黑体_GBK" w:hAnsi="方正黑体_GBK" w:eastAsia="方正黑体_GBK" w:cs="宋体"/>
                <w:sz w:val="20"/>
                <w:szCs w:val="24"/>
              </w:rPr>
              <w:t>江苏泰兴农村商业银行股份有限公司</w:t>
            </w:r>
          </w:p>
        </w:tc>
        <w:tc>
          <w:tcPr>
            <w:tcW w:w="4050" w:type="dxa"/>
            <w:tcMar>
              <w:left w:w="120" w:type="dxa"/>
            </w:tcMar>
            <w:vAlign w:val="center"/>
          </w:tcPr>
          <w:p w14:paraId="7D91B372">
            <w:pPr>
              <w:spacing w:line="240" w:lineRule="auto"/>
              <w:rPr>
                <w:sz w:val="28"/>
                <w:szCs w:val="28"/>
              </w:rPr>
            </w:pPr>
            <w:r>
              <w:rPr>
                <w:rFonts w:ascii="方正黑体_GBK" w:hAnsi="方正黑体_GBK" w:eastAsia="方正黑体_GBK" w:cs="宋体"/>
                <w:sz w:val="20"/>
                <w:szCs w:val="24"/>
              </w:rPr>
              <w:t>泰兴市国庆东路166号</w:t>
            </w:r>
          </w:p>
        </w:tc>
        <w:tc>
          <w:tcPr>
            <w:tcW w:w="1350" w:type="dxa"/>
            <w:tcMar>
              <w:left w:w="120" w:type="dxa"/>
            </w:tcMar>
            <w:vAlign w:val="center"/>
          </w:tcPr>
          <w:p w14:paraId="46CC418D">
            <w:pPr>
              <w:spacing w:line="240" w:lineRule="auto"/>
              <w:rPr>
                <w:sz w:val="28"/>
                <w:szCs w:val="28"/>
              </w:rPr>
            </w:pPr>
            <w:r>
              <w:rPr>
                <w:rFonts w:ascii="方正黑体_GBK" w:hAnsi="方正黑体_GBK" w:eastAsia="方正黑体_GBK" w:cs="宋体"/>
                <w:sz w:val="20"/>
                <w:szCs w:val="24"/>
              </w:rPr>
              <w:t>96008</w:t>
            </w:r>
          </w:p>
        </w:tc>
      </w:tr>
      <w:tr w14:paraId="127D5CA6">
        <w:trPr>
          <w:trHeight w:val="300" w:hRule="atLeast"/>
        </w:trPr>
        <w:tc>
          <w:tcPr>
            <w:tcW w:w="2100" w:type="dxa"/>
            <w:tcMar>
              <w:left w:w="120" w:type="dxa"/>
            </w:tcMar>
            <w:vAlign w:val="center"/>
          </w:tcPr>
          <w:p w14:paraId="01F9D4BD">
            <w:pPr>
              <w:spacing w:line="240" w:lineRule="auto"/>
              <w:rPr>
                <w:sz w:val="28"/>
                <w:szCs w:val="28"/>
              </w:rPr>
            </w:pPr>
            <w:r>
              <w:rPr>
                <w:rFonts w:ascii="方正黑体_GBK" w:hAnsi="方正黑体_GBK" w:eastAsia="方正黑体_GBK" w:cs="宋体"/>
                <w:sz w:val="20"/>
                <w:szCs w:val="24"/>
              </w:rPr>
              <w:t>江苏响水农村商业银行股份有限公司</w:t>
            </w:r>
          </w:p>
        </w:tc>
        <w:tc>
          <w:tcPr>
            <w:tcW w:w="4050" w:type="dxa"/>
            <w:tcMar>
              <w:left w:w="120" w:type="dxa"/>
            </w:tcMar>
            <w:vAlign w:val="center"/>
          </w:tcPr>
          <w:p w14:paraId="6D016A79">
            <w:pPr>
              <w:spacing w:line="240" w:lineRule="auto"/>
              <w:rPr>
                <w:sz w:val="28"/>
                <w:szCs w:val="28"/>
              </w:rPr>
            </w:pPr>
            <w:r>
              <w:rPr>
                <w:rFonts w:ascii="方正黑体_GBK" w:hAnsi="方正黑体_GBK" w:eastAsia="方正黑体_GBK" w:cs="宋体"/>
                <w:sz w:val="20"/>
                <w:szCs w:val="24"/>
              </w:rPr>
              <w:t>江苏省响水县双园东路北侧</w:t>
            </w:r>
          </w:p>
        </w:tc>
        <w:tc>
          <w:tcPr>
            <w:tcW w:w="1350" w:type="dxa"/>
            <w:tcMar>
              <w:left w:w="120" w:type="dxa"/>
            </w:tcMar>
            <w:vAlign w:val="center"/>
          </w:tcPr>
          <w:p w14:paraId="5D503E10">
            <w:pPr>
              <w:spacing w:line="240" w:lineRule="auto"/>
              <w:rPr>
                <w:sz w:val="28"/>
                <w:szCs w:val="28"/>
              </w:rPr>
            </w:pPr>
            <w:r>
              <w:rPr>
                <w:rFonts w:ascii="方正黑体_GBK" w:hAnsi="方正黑体_GBK" w:eastAsia="方正黑体_GBK" w:cs="宋体"/>
                <w:sz w:val="20"/>
                <w:szCs w:val="24"/>
              </w:rPr>
              <w:t>96008</w:t>
            </w:r>
          </w:p>
        </w:tc>
      </w:tr>
      <w:tr w14:paraId="745C35D7">
        <w:trPr>
          <w:trHeight w:val="300" w:hRule="atLeast"/>
        </w:trPr>
        <w:tc>
          <w:tcPr>
            <w:tcW w:w="2100" w:type="dxa"/>
            <w:tcMar>
              <w:left w:w="120" w:type="dxa"/>
            </w:tcMar>
            <w:vAlign w:val="center"/>
          </w:tcPr>
          <w:p w14:paraId="6BBF0D0F">
            <w:pPr>
              <w:spacing w:line="240" w:lineRule="auto"/>
              <w:rPr>
                <w:sz w:val="28"/>
                <w:szCs w:val="28"/>
              </w:rPr>
            </w:pPr>
            <w:r>
              <w:rPr>
                <w:rFonts w:ascii="方正黑体_GBK" w:hAnsi="方正黑体_GBK" w:eastAsia="方正黑体_GBK" w:cs="宋体"/>
                <w:sz w:val="20"/>
                <w:szCs w:val="24"/>
              </w:rPr>
              <w:t>江苏靖江农村商业银行股份有限公司</w:t>
            </w:r>
          </w:p>
        </w:tc>
        <w:tc>
          <w:tcPr>
            <w:tcW w:w="4050" w:type="dxa"/>
            <w:tcMar>
              <w:left w:w="120" w:type="dxa"/>
            </w:tcMar>
            <w:vAlign w:val="center"/>
          </w:tcPr>
          <w:p w14:paraId="170D0479">
            <w:pPr>
              <w:spacing w:line="240" w:lineRule="auto"/>
              <w:rPr>
                <w:sz w:val="28"/>
                <w:szCs w:val="28"/>
              </w:rPr>
            </w:pPr>
            <w:r>
              <w:rPr>
                <w:rFonts w:ascii="方正黑体_GBK" w:hAnsi="方正黑体_GBK" w:eastAsia="方正黑体_GBK" w:cs="宋体"/>
                <w:sz w:val="20"/>
                <w:szCs w:val="24"/>
              </w:rPr>
              <w:t>江苏省靖江市南环西路12号</w:t>
            </w:r>
          </w:p>
        </w:tc>
        <w:tc>
          <w:tcPr>
            <w:tcW w:w="1350" w:type="dxa"/>
            <w:tcMar>
              <w:left w:w="120" w:type="dxa"/>
            </w:tcMar>
            <w:vAlign w:val="center"/>
          </w:tcPr>
          <w:p w14:paraId="67DFF7CB">
            <w:pPr>
              <w:spacing w:line="240" w:lineRule="auto"/>
              <w:rPr>
                <w:sz w:val="28"/>
                <w:szCs w:val="28"/>
              </w:rPr>
            </w:pPr>
            <w:r>
              <w:rPr>
                <w:rFonts w:ascii="方正黑体_GBK" w:hAnsi="方正黑体_GBK" w:eastAsia="方正黑体_GBK" w:cs="宋体"/>
                <w:sz w:val="20"/>
                <w:szCs w:val="24"/>
              </w:rPr>
              <w:t>96008</w:t>
            </w:r>
          </w:p>
        </w:tc>
      </w:tr>
      <w:tr w14:paraId="7BEF0BDC">
        <w:trPr>
          <w:trHeight w:val="300" w:hRule="atLeast"/>
        </w:trPr>
        <w:tc>
          <w:tcPr>
            <w:tcW w:w="2100" w:type="dxa"/>
            <w:tcMar>
              <w:left w:w="120" w:type="dxa"/>
            </w:tcMar>
            <w:vAlign w:val="center"/>
          </w:tcPr>
          <w:p w14:paraId="224B6A6B">
            <w:pPr>
              <w:spacing w:line="240" w:lineRule="auto"/>
              <w:rPr>
                <w:sz w:val="28"/>
                <w:szCs w:val="28"/>
              </w:rPr>
            </w:pPr>
            <w:r>
              <w:rPr>
                <w:rFonts w:ascii="方正黑体_GBK" w:hAnsi="方正黑体_GBK" w:eastAsia="方正黑体_GBK" w:cs="宋体"/>
                <w:sz w:val="20"/>
                <w:szCs w:val="24"/>
              </w:rPr>
              <w:t>江苏新沂农村商业银行股份有限公司</w:t>
            </w:r>
          </w:p>
        </w:tc>
        <w:tc>
          <w:tcPr>
            <w:tcW w:w="4050" w:type="dxa"/>
            <w:tcMar>
              <w:left w:w="120" w:type="dxa"/>
            </w:tcMar>
            <w:vAlign w:val="center"/>
          </w:tcPr>
          <w:p w14:paraId="46306797">
            <w:pPr>
              <w:spacing w:line="240" w:lineRule="auto"/>
              <w:rPr>
                <w:sz w:val="28"/>
                <w:szCs w:val="28"/>
              </w:rPr>
            </w:pPr>
            <w:r>
              <w:rPr>
                <w:rFonts w:ascii="方正黑体_GBK" w:hAnsi="方正黑体_GBK" w:eastAsia="方正黑体_GBK" w:cs="宋体"/>
                <w:sz w:val="20"/>
                <w:szCs w:val="24"/>
              </w:rPr>
              <w:t>江苏省新沂市钟吾路163号</w:t>
            </w:r>
          </w:p>
        </w:tc>
        <w:tc>
          <w:tcPr>
            <w:tcW w:w="1350" w:type="dxa"/>
            <w:tcMar>
              <w:left w:w="120" w:type="dxa"/>
            </w:tcMar>
            <w:vAlign w:val="center"/>
          </w:tcPr>
          <w:p w14:paraId="486FE432">
            <w:pPr>
              <w:spacing w:line="240" w:lineRule="auto"/>
              <w:rPr>
                <w:sz w:val="28"/>
                <w:szCs w:val="28"/>
              </w:rPr>
            </w:pPr>
            <w:r>
              <w:rPr>
                <w:rFonts w:ascii="方正黑体_GBK" w:hAnsi="方正黑体_GBK" w:eastAsia="方正黑体_GBK" w:cs="宋体"/>
                <w:sz w:val="20"/>
                <w:szCs w:val="24"/>
              </w:rPr>
              <w:t>96008</w:t>
            </w:r>
          </w:p>
        </w:tc>
      </w:tr>
      <w:tr w14:paraId="2C4E633C">
        <w:trPr>
          <w:trHeight w:val="300" w:hRule="atLeast"/>
        </w:trPr>
        <w:tc>
          <w:tcPr>
            <w:tcW w:w="2100" w:type="dxa"/>
            <w:tcMar>
              <w:left w:w="120" w:type="dxa"/>
            </w:tcMar>
            <w:vAlign w:val="center"/>
          </w:tcPr>
          <w:p w14:paraId="00045040">
            <w:pPr>
              <w:spacing w:line="240" w:lineRule="auto"/>
              <w:rPr>
                <w:sz w:val="28"/>
                <w:szCs w:val="28"/>
              </w:rPr>
            </w:pPr>
            <w:r>
              <w:rPr>
                <w:rFonts w:ascii="方正黑体_GBK" w:hAnsi="方正黑体_GBK" w:eastAsia="方正黑体_GBK" w:cs="宋体"/>
                <w:sz w:val="20"/>
                <w:szCs w:val="24"/>
              </w:rPr>
              <w:t>江苏邳州农村商业银行股份有限公司</w:t>
            </w:r>
          </w:p>
        </w:tc>
        <w:tc>
          <w:tcPr>
            <w:tcW w:w="4050" w:type="dxa"/>
            <w:tcMar>
              <w:left w:w="120" w:type="dxa"/>
            </w:tcMar>
            <w:vAlign w:val="center"/>
          </w:tcPr>
          <w:p w14:paraId="5D8A8A67">
            <w:pPr>
              <w:spacing w:line="240" w:lineRule="auto"/>
              <w:rPr>
                <w:sz w:val="28"/>
                <w:szCs w:val="28"/>
              </w:rPr>
            </w:pPr>
            <w:r>
              <w:rPr>
                <w:rFonts w:ascii="方正黑体_GBK" w:hAnsi="方正黑体_GBK" w:eastAsia="方正黑体_GBK" w:cs="宋体"/>
                <w:sz w:val="20"/>
                <w:szCs w:val="24"/>
              </w:rPr>
              <w:t>江苏省邳州市建设中路16号</w:t>
            </w:r>
          </w:p>
        </w:tc>
        <w:tc>
          <w:tcPr>
            <w:tcW w:w="1350" w:type="dxa"/>
            <w:tcMar>
              <w:left w:w="120" w:type="dxa"/>
            </w:tcMar>
            <w:vAlign w:val="center"/>
          </w:tcPr>
          <w:p w14:paraId="6A01B6CB">
            <w:pPr>
              <w:spacing w:line="240" w:lineRule="auto"/>
              <w:rPr>
                <w:sz w:val="28"/>
                <w:szCs w:val="28"/>
              </w:rPr>
            </w:pPr>
            <w:r>
              <w:rPr>
                <w:rFonts w:ascii="方正黑体_GBK" w:hAnsi="方正黑体_GBK" w:eastAsia="方正黑体_GBK" w:cs="宋体"/>
                <w:sz w:val="20"/>
                <w:szCs w:val="24"/>
              </w:rPr>
              <w:t>96008</w:t>
            </w:r>
          </w:p>
        </w:tc>
      </w:tr>
      <w:tr w14:paraId="69BAC2E8">
        <w:trPr>
          <w:trHeight w:val="300" w:hRule="atLeast"/>
        </w:trPr>
        <w:tc>
          <w:tcPr>
            <w:tcW w:w="2100" w:type="dxa"/>
            <w:tcMar>
              <w:left w:w="120" w:type="dxa"/>
            </w:tcMar>
            <w:vAlign w:val="center"/>
          </w:tcPr>
          <w:p w14:paraId="565762E6">
            <w:pPr>
              <w:spacing w:line="240" w:lineRule="auto"/>
              <w:rPr>
                <w:sz w:val="28"/>
                <w:szCs w:val="28"/>
              </w:rPr>
            </w:pPr>
            <w:r>
              <w:rPr>
                <w:rFonts w:ascii="方正黑体_GBK" w:hAnsi="方正黑体_GBK" w:eastAsia="方正黑体_GBK" w:cs="宋体"/>
                <w:sz w:val="20"/>
                <w:szCs w:val="24"/>
              </w:rPr>
              <w:t>江苏民丰农村商业银行股份有限公司</w:t>
            </w:r>
          </w:p>
        </w:tc>
        <w:tc>
          <w:tcPr>
            <w:tcW w:w="4050" w:type="dxa"/>
            <w:tcMar>
              <w:left w:w="120" w:type="dxa"/>
            </w:tcMar>
            <w:vAlign w:val="center"/>
          </w:tcPr>
          <w:p w14:paraId="77ABBED3">
            <w:pPr>
              <w:spacing w:line="240" w:lineRule="auto"/>
              <w:rPr>
                <w:sz w:val="28"/>
                <w:szCs w:val="28"/>
              </w:rPr>
            </w:pPr>
            <w:r>
              <w:rPr>
                <w:rFonts w:ascii="方正黑体_GBK" w:hAnsi="方正黑体_GBK" w:eastAsia="方正黑体_GBK" w:cs="宋体"/>
                <w:sz w:val="20"/>
                <w:szCs w:val="24"/>
              </w:rPr>
              <w:t>江苏省宿迁市宿城区高宝湖路1号</w:t>
            </w:r>
          </w:p>
        </w:tc>
        <w:tc>
          <w:tcPr>
            <w:tcW w:w="1350" w:type="dxa"/>
            <w:tcMar>
              <w:left w:w="120" w:type="dxa"/>
            </w:tcMar>
            <w:vAlign w:val="center"/>
          </w:tcPr>
          <w:p w14:paraId="2C26D93C">
            <w:pPr>
              <w:spacing w:line="240" w:lineRule="auto"/>
              <w:rPr>
                <w:sz w:val="28"/>
                <w:szCs w:val="28"/>
              </w:rPr>
            </w:pPr>
            <w:r>
              <w:rPr>
                <w:rFonts w:ascii="方正黑体_GBK" w:hAnsi="方正黑体_GBK" w:eastAsia="方正黑体_GBK" w:cs="宋体"/>
                <w:sz w:val="20"/>
                <w:szCs w:val="24"/>
              </w:rPr>
              <w:t>96008</w:t>
            </w:r>
          </w:p>
        </w:tc>
      </w:tr>
      <w:tr w14:paraId="3DF9D3A0">
        <w:trPr>
          <w:trHeight w:val="300" w:hRule="atLeast"/>
        </w:trPr>
        <w:tc>
          <w:tcPr>
            <w:tcW w:w="2100" w:type="dxa"/>
            <w:tcMar>
              <w:left w:w="120" w:type="dxa"/>
            </w:tcMar>
            <w:vAlign w:val="center"/>
          </w:tcPr>
          <w:p w14:paraId="51939294">
            <w:pPr>
              <w:spacing w:line="240" w:lineRule="auto"/>
              <w:rPr>
                <w:sz w:val="28"/>
                <w:szCs w:val="28"/>
              </w:rPr>
            </w:pPr>
            <w:r>
              <w:rPr>
                <w:rFonts w:ascii="方正黑体_GBK" w:hAnsi="方正黑体_GBK" w:eastAsia="方正黑体_GBK" w:cs="宋体"/>
                <w:sz w:val="20"/>
                <w:szCs w:val="24"/>
              </w:rPr>
              <w:t>江苏盐城农村商业银行股份有限公司</w:t>
            </w:r>
          </w:p>
        </w:tc>
        <w:tc>
          <w:tcPr>
            <w:tcW w:w="4050" w:type="dxa"/>
            <w:tcMar>
              <w:left w:w="120" w:type="dxa"/>
            </w:tcMar>
            <w:vAlign w:val="center"/>
          </w:tcPr>
          <w:p w14:paraId="7FF6F053">
            <w:pPr>
              <w:spacing w:line="240" w:lineRule="auto"/>
              <w:rPr>
                <w:sz w:val="28"/>
                <w:szCs w:val="28"/>
              </w:rPr>
            </w:pPr>
            <w:r>
              <w:rPr>
                <w:rFonts w:ascii="方正黑体_GBK" w:hAnsi="方正黑体_GBK" w:eastAsia="方正黑体_GBK" w:cs="宋体"/>
                <w:sz w:val="20"/>
                <w:szCs w:val="24"/>
              </w:rPr>
              <w:t>盐城市盐南高新区新都西路8号</w:t>
            </w:r>
          </w:p>
        </w:tc>
        <w:tc>
          <w:tcPr>
            <w:tcW w:w="1350" w:type="dxa"/>
            <w:tcMar>
              <w:left w:w="120" w:type="dxa"/>
            </w:tcMar>
            <w:vAlign w:val="center"/>
          </w:tcPr>
          <w:p w14:paraId="3C63CF1E">
            <w:pPr>
              <w:spacing w:line="240" w:lineRule="auto"/>
              <w:rPr>
                <w:sz w:val="28"/>
                <w:szCs w:val="28"/>
              </w:rPr>
            </w:pPr>
            <w:r>
              <w:rPr>
                <w:rFonts w:ascii="方正黑体_GBK" w:hAnsi="方正黑体_GBK" w:eastAsia="方正黑体_GBK" w:cs="宋体"/>
                <w:sz w:val="20"/>
                <w:szCs w:val="24"/>
              </w:rPr>
              <w:t>96008</w:t>
            </w:r>
          </w:p>
        </w:tc>
      </w:tr>
      <w:tr w14:paraId="165C7A04">
        <w:trPr>
          <w:trHeight w:val="300" w:hRule="atLeast"/>
        </w:trPr>
        <w:tc>
          <w:tcPr>
            <w:tcW w:w="2100" w:type="dxa"/>
            <w:tcMar>
              <w:left w:w="120" w:type="dxa"/>
            </w:tcMar>
            <w:vAlign w:val="center"/>
          </w:tcPr>
          <w:p w14:paraId="3C2B9938">
            <w:pPr>
              <w:spacing w:line="240" w:lineRule="auto"/>
              <w:rPr>
                <w:sz w:val="28"/>
                <w:szCs w:val="28"/>
              </w:rPr>
            </w:pPr>
            <w:r>
              <w:rPr>
                <w:rFonts w:ascii="方正黑体_GBK" w:hAnsi="方正黑体_GBK" w:eastAsia="方正黑体_GBK" w:cs="宋体"/>
                <w:sz w:val="20"/>
                <w:szCs w:val="24"/>
              </w:rPr>
              <w:t>江苏建湖农村商业银行股份有限公司</w:t>
            </w:r>
          </w:p>
        </w:tc>
        <w:tc>
          <w:tcPr>
            <w:tcW w:w="4050" w:type="dxa"/>
            <w:tcMar>
              <w:left w:w="120" w:type="dxa"/>
            </w:tcMar>
            <w:vAlign w:val="center"/>
          </w:tcPr>
          <w:p w14:paraId="2FCCEA40">
            <w:pPr>
              <w:spacing w:line="240" w:lineRule="auto"/>
              <w:rPr>
                <w:sz w:val="28"/>
                <w:szCs w:val="28"/>
              </w:rPr>
            </w:pPr>
            <w:r>
              <w:rPr>
                <w:rFonts w:ascii="方正黑体_GBK" w:hAnsi="方正黑体_GBK" w:eastAsia="方正黑体_GBK" w:cs="宋体"/>
                <w:sz w:val="20"/>
                <w:szCs w:val="24"/>
              </w:rPr>
              <w:t>江苏省建湖县湖中南路958号</w:t>
            </w:r>
          </w:p>
        </w:tc>
        <w:tc>
          <w:tcPr>
            <w:tcW w:w="1350" w:type="dxa"/>
            <w:tcMar>
              <w:left w:w="120" w:type="dxa"/>
            </w:tcMar>
            <w:vAlign w:val="center"/>
          </w:tcPr>
          <w:p w14:paraId="500FC3F2">
            <w:pPr>
              <w:spacing w:line="240" w:lineRule="auto"/>
              <w:rPr>
                <w:sz w:val="28"/>
                <w:szCs w:val="28"/>
              </w:rPr>
            </w:pPr>
            <w:r>
              <w:rPr>
                <w:rFonts w:ascii="方正黑体_GBK" w:hAnsi="方正黑体_GBK" w:eastAsia="方正黑体_GBK" w:cs="宋体"/>
                <w:sz w:val="20"/>
                <w:szCs w:val="24"/>
              </w:rPr>
              <w:t>96008</w:t>
            </w:r>
          </w:p>
        </w:tc>
      </w:tr>
      <w:tr w14:paraId="01C64097">
        <w:trPr>
          <w:trHeight w:val="300" w:hRule="atLeast"/>
        </w:trPr>
        <w:tc>
          <w:tcPr>
            <w:tcW w:w="2100" w:type="dxa"/>
            <w:tcMar>
              <w:left w:w="120" w:type="dxa"/>
            </w:tcMar>
            <w:vAlign w:val="center"/>
          </w:tcPr>
          <w:p w14:paraId="7F7E8C98">
            <w:pPr>
              <w:spacing w:line="240" w:lineRule="auto"/>
              <w:rPr>
                <w:sz w:val="28"/>
                <w:szCs w:val="28"/>
              </w:rPr>
            </w:pPr>
            <w:r>
              <w:rPr>
                <w:rFonts w:ascii="方正黑体_GBK" w:hAnsi="方正黑体_GBK" w:eastAsia="方正黑体_GBK" w:cs="宋体"/>
                <w:sz w:val="20"/>
                <w:szCs w:val="24"/>
              </w:rPr>
              <w:t>江苏东台农村商业银行股份有限公司</w:t>
            </w:r>
          </w:p>
        </w:tc>
        <w:tc>
          <w:tcPr>
            <w:tcW w:w="4050" w:type="dxa"/>
            <w:tcMar>
              <w:left w:w="120" w:type="dxa"/>
            </w:tcMar>
            <w:vAlign w:val="center"/>
          </w:tcPr>
          <w:p w14:paraId="42930680">
            <w:pPr>
              <w:spacing w:line="240" w:lineRule="auto"/>
              <w:rPr>
                <w:sz w:val="28"/>
                <w:szCs w:val="28"/>
              </w:rPr>
            </w:pPr>
            <w:r>
              <w:rPr>
                <w:rFonts w:ascii="方正黑体_GBK" w:hAnsi="方正黑体_GBK" w:eastAsia="方正黑体_GBK" w:cs="宋体"/>
                <w:sz w:val="20"/>
                <w:szCs w:val="24"/>
              </w:rPr>
              <w:t>东台市东城大道10号</w:t>
            </w:r>
          </w:p>
        </w:tc>
        <w:tc>
          <w:tcPr>
            <w:tcW w:w="1350" w:type="dxa"/>
            <w:tcMar>
              <w:left w:w="120" w:type="dxa"/>
            </w:tcMar>
            <w:vAlign w:val="center"/>
          </w:tcPr>
          <w:p w14:paraId="0578A503">
            <w:pPr>
              <w:spacing w:line="240" w:lineRule="auto"/>
              <w:rPr>
                <w:sz w:val="28"/>
                <w:szCs w:val="28"/>
              </w:rPr>
            </w:pPr>
            <w:r>
              <w:rPr>
                <w:rFonts w:ascii="方正黑体_GBK" w:hAnsi="方正黑体_GBK" w:eastAsia="方正黑体_GBK" w:cs="宋体"/>
                <w:sz w:val="20"/>
                <w:szCs w:val="24"/>
              </w:rPr>
              <w:t>96008</w:t>
            </w:r>
          </w:p>
        </w:tc>
      </w:tr>
      <w:tr w14:paraId="540EFCB1">
        <w:trPr>
          <w:trHeight w:val="300" w:hRule="atLeast"/>
        </w:trPr>
        <w:tc>
          <w:tcPr>
            <w:tcW w:w="2100" w:type="dxa"/>
            <w:tcMar>
              <w:left w:w="120" w:type="dxa"/>
            </w:tcMar>
            <w:vAlign w:val="center"/>
          </w:tcPr>
          <w:p w14:paraId="20583397">
            <w:pPr>
              <w:spacing w:line="240" w:lineRule="auto"/>
              <w:rPr>
                <w:sz w:val="28"/>
                <w:szCs w:val="28"/>
              </w:rPr>
            </w:pPr>
            <w:r>
              <w:rPr>
                <w:rFonts w:ascii="方正黑体_GBK" w:hAnsi="方正黑体_GBK" w:eastAsia="方正黑体_GBK" w:cs="宋体"/>
                <w:sz w:val="20"/>
                <w:szCs w:val="24"/>
              </w:rPr>
              <w:t>江苏溧水农村商业银行股份有限公司</w:t>
            </w:r>
          </w:p>
        </w:tc>
        <w:tc>
          <w:tcPr>
            <w:tcW w:w="4050" w:type="dxa"/>
            <w:tcMar>
              <w:left w:w="120" w:type="dxa"/>
            </w:tcMar>
            <w:vAlign w:val="center"/>
          </w:tcPr>
          <w:p w14:paraId="595EA9D5">
            <w:pPr>
              <w:spacing w:line="240" w:lineRule="auto"/>
              <w:rPr>
                <w:sz w:val="28"/>
                <w:szCs w:val="28"/>
              </w:rPr>
            </w:pPr>
            <w:r>
              <w:rPr>
                <w:rFonts w:ascii="方正黑体_GBK" w:hAnsi="方正黑体_GBK" w:eastAsia="方正黑体_GBK" w:cs="宋体"/>
                <w:sz w:val="20"/>
                <w:szCs w:val="24"/>
              </w:rPr>
              <w:t>南京市溧水区永阳街道中山路22号</w:t>
            </w:r>
          </w:p>
        </w:tc>
        <w:tc>
          <w:tcPr>
            <w:tcW w:w="1350" w:type="dxa"/>
            <w:tcMar>
              <w:left w:w="120" w:type="dxa"/>
            </w:tcMar>
            <w:vAlign w:val="center"/>
          </w:tcPr>
          <w:p w14:paraId="72D16E28">
            <w:pPr>
              <w:spacing w:line="240" w:lineRule="auto"/>
              <w:rPr>
                <w:sz w:val="28"/>
                <w:szCs w:val="28"/>
              </w:rPr>
            </w:pPr>
            <w:r>
              <w:rPr>
                <w:rFonts w:ascii="方正黑体_GBK" w:hAnsi="方正黑体_GBK" w:eastAsia="方正黑体_GBK" w:cs="宋体"/>
                <w:sz w:val="20"/>
                <w:szCs w:val="24"/>
              </w:rPr>
              <w:t>96008</w:t>
            </w:r>
          </w:p>
        </w:tc>
      </w:tr>
      <w:tr w14:paraId="2B3437C9">
        <w:trPr>
          <w:trHeight w:val="300" w:hRule="atLeast"/>
        </w:trPr>
        <w:tc>
          <w:tcPr>
            <w:tcW w:w="2100" w:type="dxa"/>
            <w:tcMar>
              <w:left w:w="120" w:type="dxa"/>
            </w:tcMar>
            <w:vAlign w:val="center"/>
          </w:tcPr>
          <w:p w14:paraId="58D32BFB">
            <w:pPr>
              <w:spacing w:line="240" w:lineRule="auto"/>
              <w:rPr>
                <w:sz w:val="28"/>
                <w:szCs w:val="28"/>
              </w:rPr>
            </w:pPr>
            <w:r>
              <w:rPr>
                <w:rFonts w:ascii="方正黑体_GBK" w:hAnsi="方正黑体_GBK" w:eastAsia="方正黑体_GBK" w:cs="宋体"/>
                <w:sz w:val="20"/>
                <w:szCs w:val="24"/>
              </w:rPr>
              <w:t>江苏南通农村商业银行股份有限公司</w:t>
            </w:r>
          </w:p>
        </w:tc>
        <w:tc>
          <w:tcPr>
            <w:tcW w:w="4050" w:type="dxa"/>
            <w:tcMar>
              <w:left w:w="120" w:type="dxa"/>
            </w:tcMar>
            <w:vAlign w:val="center"/>
          </w:tcPr>
          <w:p w14:paraId="05C5578D">
            <w:pPr>
              <w:spacing w:line="240" w:lineRule="auto"/>
              <w:rPr>
                <w:sz w:val="28"/>
                <w:szCs w:val="28"/>
              </w:rPr>
            </w:pPr>
            <w:r>
              <w:rPr>
                <w:rFonts w:ascii="方正黑体_GBK" w:hAnsi="方正黑体_GBK" w:eastAsia="方正黑体_GBK" w:cs="宋体"/>
                <w:sz w:val="20"/>
                <w:szCs w:val="24"/>
              </w:rPr>
              <w:t>南通市崇川区工农南路89号</w:t>
            </w:r>
          </w:p>
        </w:tc>
        <w:tc>
          <w:tcPr>
            <w:tcW w:w="1350" w:type="dxa"/>
            <w:tcMar>
              <w:left w:w="120" w:type="dxa"/>
            </w:tcMar>
            <w:vAlign w:val="center"/>
          </w:tcPr>
          <w:p w14:paraId="4A03D691">
            <w:pPr>
              <w:spacing w:line="240" w:lineRule="auto"/>
              <w:rPr>
                <w:sz w:val="28"/>
                <w:szCs w:val="28"/>
              </w:rPr>
            </w:pPr>
            <w:r>
              <w:rPr>
                <w:rFonts w:ascii="方正黑体_GBK" w:hAnsi="方正黑体_GBK" w:eastAsia="方正黑体_GBK" w:cs="宋体"/>
                <w:sz w:val="20"/>
                <w:szCs w:val="24"/>
              </w:rPr>
              <w:t>96008</w:t>
            </w:r>
          </w:p>
        </w:tc>
      </w:tr>
      <w:tr w14:paraId="6E959CF9">
        <w:trPr>
          <w:trHeight w:val="300" w:hRule="atLeast"/>
        </w:trPr>
        <w:tc>
          <w:tcPr>
            <w:tcW w:w="2100" w:type="dxa"/>
            <w:tcMar>
              <w:left w:w="120" w:type="dxa"/>
            </w:tcMar>
            <w:vAlign w:val="center"/>
          </w:tcPr>
          <w:p w14:paraId="55A41069">
            <w:pPr>
              <w:spacing w:line="240" w:lineRule="auto"/>
              <w:rPr>
                <w:sz w:val="28"/>
                <w:szCs w:val="28"/>
              </w:rPr>
            </w:pPr>
            <w:r>
              <w:rPr>
                <w:rFonts w:ascii="方正黑体_GBK" w:hAnsi="方正黑体_GBK" w:eastAsia="方正黑体_GBK" w:cs="宋体"/>
                <w:sz w:val="20"/>
                <w:szCs w:val="24"/>
              </w:rPr>
              <w:t>江苏扬州农村商业银行股份有限公司</w:t>
            </w:r>
          </w:p>
        </w:tc>
        <w:tc>
          <w:tcPr>
            <w:tcW w:w="4050" w:type="dxa"/>
            <w:tcMar>
              <w:left w:w="120" w:type="dxa"/>
            </w:tcMar>
            <w:vAlign w:val="center"/>
          </w:tcPr>
          <w:p w14:paraId="6BE50F58">
            <w:pPr>
              <w:spacing w:line="240" w:lineRule="auto"/>
              <w:rPr>
                <w:sz w:val="28"/>
                <w:szCs w:val="28"/>
              </w:rPr>
            </w:pPr>
            <w:r>
              <w:rPr>
                <w:rFonts w:ascii="方正黑体_GBK" w:hAnsi="方正黑体_GBK" w:eastAsia="方正黑体_GBK" w:cs="宋体"/>
                <w:sz w:val="20"/>
                <w:szCs w:val="24"/>
              </w:rPr>
              <w:t>江苏省扬州市同泰路107号</w:t>
            </w:r>
          </w:p>
        </w:tc>
        <w:tc>
          <w:tcPr>
            <w:tcW w:w="1350" w:type="dxa"/>
            <w:tcMar>
              <w:left w:w="120" w:type="dxa"/>
            </w:tcMar>
            <w:vAlign w:val="center"/>
          </w:tcPr>
          <w:p w14:paraId="69ACCDA7">
            <w:pPr>
              <w:spacing w:line="240" w:lineRule="auto"/>
              <w:rPr>
                <w:sz w:val="28"/>
                <w:szCs w:val="28"/>
              </w:rPr>
            </w:pPr>
            <w:r>
              <w:rPr>
                <w:rFonts w:ascii="方正黑体_GBK" w:hAnsi="方正黑体_GBK" w:eastAsia="方正黑体_GBK" w:cs="宋体"/>
                <w:sz w:val="20"/>
                <w:szCs w:val="24"/>
              </w:rPr>
              <w:t>96008</w:t>
            </w:r>
          </w:p>
        </w:tc>
      </w:tr>
      <w:tr w14:paraId="55D568A5">
        <w:trPr>
          <w:trHeight w:val="300" w:hRule="atLeast"/>
        </w:trPr>
        <w:tc>
          <w:tcPr>
            <w:tcW w:w="2100" w:type="dxa"/>
            <w:tcMar>
              <w:left w:w="120" w:type="dxa"/>
            </w:tcMar>
            <w:vAlign w:val="center"/>
          </w:tcPr>
          <w:p w14:paraId="1C1A16F6">
            <w:pPr>
              <w:spacing w:line="240" w:lineRule="auto"/>
              <w:rPr>
                <w:sz w:val="28"/>
                <w:szCs w:val="28"/>
              </w:rPr>
            </w:pPr>
            <w:r>
              <w:rPr>
                <w:rFonts w:ascii="方正黑体_GBK" w:hAnsi="方正黑体_GBK" w:eastAsia="方正黑体_GBK" w:cs="宋体"/>
                <w:sz w:val="20"/>
                <w:szCs w:val="24"/>
              </w:rPr>
              <w:t>江苏江都农村商业银行股份有限公司</w:t>
            </w:r>
          </w:p>
        </w:tc>
        <w:tc>
          <w:tcPr>
            <w:tcW w:w="4050" w:type="dxa"/>
            <w:tcMar>
              <w:left w:w="120" w:type="dxa"/>
            </w:tcMar>
            <w:vAlign w:val="center"/>
          </w:tcPr>
          <w:p w14:paraId="366C7C4D">
            <w:pPr>
              <w:spacing w:line="240" w:lineRule="auto"/>
              <w:rPr>
                <w:sz w:val="28"/>
                <w:szCs w:val="28"/>
              </w:rPr>
            </w:pPr>
            <w:r>
              <w:rPr>
                <w:rFonts w:ascii="方正黑体_GBK" w:hAnsi="方正黑体_GBK" w:eastAsia="方正黑体_GBK" w:cs="宋体"/>
                <w:sz w:val="20"/>
                <w:szCs w:val="24"/>
              </w:rPr>
              <w:t>扬州市江都区龙城路21号</w:t>
            </w:r>
          </w:p>
        </w:tc>
        <w:tc>
          <w:tcPr>
            <w:tcW w:w="1350" w:type="dxa"/>
            <w:tcMar>
              <w:left w:w="120" w:type="dxa"/>
            </w:tcMar>
            <w:vAlign w:val="center"/>
          </w:tcPr>
          <w:p w14:paraId="6DD09CA1">
            <w:pPr>
              <w:spacing w:line="240" w:lineRule="auto"/>
              <w:rPr>
                <w:sz w:val="28"/>
                <w:szCs w:val="28"/>
              </w:rPr>
            </w:pPr>
            <w:r>
              <w:rPr>
                <w:rFonts w:ascii="方正黑体_GBK" w:hAnsi="方正黑体_GBK" w:eastAsia="方正黑体_GBK" w:cs="宋体"/>
                <w:sz w:val="20"/>
                <w:szCs w:val="24"/>
              </w:rPr>
              <w:t>96008</w:t>
            </w:r>
          </w:p>
        </w:tc>
      </w:tr>
      <w:tr w14:paraId="2EE4F3D1">
        <w:trPr>
          <w:trHeight w:val="300" w:hRule="atLeast"/>
        </w:trPr>
        <w:tc>
          <w:tcPr>
            <w:tcW w:w="2100" w:type="dxa"/>
            <w:tcMar>
              <w:left w:w="120" w:type="dxa"/>
            </w:tcMar>
            <w:vAlign w:val="center"/>
          </w:tcPr>
          <w:p w14:paraId="4306819B">
            <w:pPr>
              <w:spacing w:line="240" w:lineRule="auto"/>
              <w:rPr>
                <w:sz w:val="28"/>
                <w:szCs w:val="28"/>
              </w:rPr>
            </w:pPr>
            <w:r>
              <w:rPr>
                <w:rFonts w:ascii="方正黑体_GBK" w:hAnsi="方正黑体_GBK" w:eastAsia="方正黑体_GBK" w:cs="宋体"/>
                <w:sz w:val="20"/>
                <w:szCs w:val="24"/>
              </w:rPr>
              <w:t>江苏淮安农村商业银行股份有限公司</w:t>
            </w:r>
          </w:p>
        </w:tc>
        <w:tc>
          <w:tcPr>
            <w:tcW w:w="4050" w:type="dxa"/>
            <w:tcMar>
              <w:left w:w="120" w:type="dxa"/>
            </w:tcMar>
            <w:vAlign w:val="center"/>
          </w:tcPr>
          <w:p w14:paraId="4487D579">
            <w:pPr>
              <w:spacing w:line="240" w:lineRule="auto"/>
              <w:rPr>
                <w:sz w:val="28"/>
                <w:szCs w:val="28"/>
              </w:rPr>
            </w:pPr>
            <w:r>
              <w:rPr>
                <w:rFonts w:ascii="方正黑体_GBK" w:hAnsi="方正黑体_GBK" w:eastAsia="方正黑体_GBK" w:cs="宋体"/>
                <w:sz w:val="20"/>
                <w:szCs w:val="24"/>
              </w:rPr>
              <w:t>江苏省淮安市清江浦区水渡口大道20号金融中心B1号楼</w:t>
            </w:r>
          </w:p>
        </w:tc>
        <w:tc>
          <w:tcPr>
            <w:tcW w:w="1350" w:type="dxa"/>
            <w:tcMar>
              <w:left w:w="120" w:type="dxa"/>
            </w:tcMar>
            <w:vAlign w:val="center"/>
          </w:tcPr>
          <w:p w14:paraId="260B2273">
            <w:pPr>
              <w:spacing w:line="240" w:lineRule="auto"/>
              <w:rPr>
                <w:sz w:val="28"/>
                <w:szCs w:val="28"/>
              </w:rPr>
            </w:pPr>
            <w:r>
              <w:rPr>
                <w:rFonts w:ascii="方正黑体_GBK" w:hAnsi="方正黑体_GBK" w:eastAsia="方正黑体_GBK" w:cs="宋体"/>
                <w:sz w:val="20"/>
                <w:szCs w:val="24"/>
              </w:rPr>
              <w:t>96008</w:t>
            </w:r>
          </w:p>
        </w:tc>
      </w:tr>
      <w:tr w14:paraId="3D596DF3">
        <w:trPr>
          <w:trHeight w:val="300" w:hRule="atLeast"/>
        </w:trPr>
        <w:tc>
          <w:tcPr>
            <w:tcW w:w="2100" w:type="dxa"/>
            <w:tcMar>
              <w:left w:w="120" w:type="dxa"/>
            </w:tcMar>
            <w:vAlign w:val="center"/>
          </w:tcPr>
          <w:p w14:paraId="7DE869F5">
            <w:pPr>
              <w:spacing w:line="240" w:lineRule="auto"/>
              <w:rPr>
                <w:sz w:val="28"/>
                <w:szCs w:val="28"/>
              </w:rPr>
            </w:pPr>
            <w:r>
              <w:rPr>
                <w:rFonts w:ascii="方正黑体_GBK" w:hAnsi="方正黑体_GBK" w:eastAsia="方正黑体_GBK" w:cs="宋体"/>
                <w:sz w:val="20"/>
                <w:szCs w:val="24"/>
              </w:rPr>
              <w:t>江苏大丰农村商业银行股份有限公司</w:t>
            </w:r>
          </w:p>
        </w:tc>
        <w:tc>
          <w:tcPr>
            <w:tcW w:w="4050" w:type="dxa"/>
            <w:tcMar>
              <w:left w:w="120" w:type="dxa"/>
            </w:tcMar>
            <w:vAlign w:val="center"/>
          </w:tcPr>
          <w:p w14:paraId="2E9C0166">
            <w:pPr>
              <w:spacing w:line="240" w:lineRule="auto"/>
              <w:rPr>
                <w:sz w:val="28"/>
                <w:szCs w:val="28"/>
              </w:rPr>
            </w:pPr>
            <w:r>
              <w:rPr>
                <w:rFonts w:ascii="方正黑体_GBK" w:hAnsi="方正黑体_GBK" w:eastAsia="方正黑体_GBK" w:cs="宋体"/>
                <w:sz w:val="20"/>
                <w:szCs w:val="24"/>
              </w:rPr>
              <w:t>江苏省盐城市大丰区常新中路9号</w:t>
            </w:r>
          </w:p>
        </w:tc>
        <w:tc>
          <w:tcPr>
            <w:tcW w:w="1350" w:type="dxa"/>
            <w:tcMar>
              <w:left w:w="120" w:type="dxa"/>
            </w:tcMar>
            <w:vAlign w:val="center"/>
          </w:tcPr>
          <w:p w14:paraId="7EEC03A7">
            <w:pPr>
              <w:spacing w:line="240" w:lineRule="auto"/>
              <w:rPr>
                <w:sz w:val="28"/>
                <w:szCs w:val="28"/>
              </w:rPr>
            </w:pPr>
            <w:r>
              <w:rPr>
                <w:rFonts w:ascii="方正黑体_GBK" w:hAnsi="方正黑体_GBK" w:eastAsia="方正黑体_GBK" w:cs="宋体"/>
                <w:sz w:val="20"/>
                <w:szCs w:val="24"/>
              </w:rPr>
              <w:t>96008</w:t>
            </w:r>
          </w:p>
        </w:tc>
      </w:tr>
      <w:tr w14:paraId="00D8095E">
        <w:trPr>
          <w:trHeight w:val="300" w:hRule="atLeast"/>
        </w:trPr>
        <w:tc>
          <w:tcPr>
            <w:tcW w:w="2100" w:type="dxa"/>
            <w:tcMar>
              <w:left w:w="120" w:type="dxa"/>
            </w:tcMar>
            <w:vAlign w:val="center"/>
          </w:tcPr>
          <w:p w14:paraId="09594FD4">
            <w:pPr>
              <w:spacing w:line="240" w:lineRule="auto"/>
              <w:rPr>
                <w:sz w:val="28"/>
                <w:szCs w:val="28"/>
              </w:rPr>
            </w:pPr>
            <w:r>
              <w:rPr>
                <w:rFonts w:ascii="方正黑体_GBK" w:hAnsi="方正黑体_GBK" w:eastAsia="方正黑体_GBK" w:cs="宋体"/>
                <w:sz w:val="20"/>
                <w:szCs w:val="24"/>
              </w:rPr>
              <w:t>江苏涟水农村商业银行股份有限公司</w:t>
            </w:r>
          </w:p>
        </w:tc>
        <w:tc>
          <w:tcPr>
            <w:tcW w:w="4050" w:type="dxa"/>
            <w:tcMar>
              <w:left w:w="120" w:type="dxa"/>
            </w:tcMar>
            <w:vAlign w:val="center"/>
          </w:tcPr>
          <w:p w14:paraId="3A59429D">
            <w:pPr>
              <w:spacing w:line="240" w:lineRule="auto"/>
              <w:rPr>
                <w:sz w:val="28"/>
                <w:szCs w:val="28"/>
              </w:rPr>
            </w:pPr>
            <w:r>
              <w:rPr>
                <w:rFonts w:ascii="方正黑体_GBK" w:hAnsi="方正黑体_GBK" w:eastAsia="方正黑体_GBK" w:cs="宋体"/>
                <w:sz w:val="20"/>
                <w:szCs w:val="24"/>
              </w:rPr>
              <w:t>淮安市涟水县涟城镇涟州路5号</w:t>
            </w:r>
          </w:p>
        </w:tc>
        <w:tc>
          <w:tcPr>
            <w:tcW w:w="1350" w:type="dxa"/>
            <w:tcMar>
              <w:left w:w="120" w:type="dxa"/>
            </w:tcMar>
            <w:vAlign w:val="center"/>
          </w:tcPr>
          <w:p w14:paraId="3CF66C0F">
            <w:pPr>
              <w:spacing w:line="240" w:lineRule="auto"/>
              <w:rPr>
                <w:sz w:val="28"/>
                <w:szCs w:val="28"/>
              </w:rPr>
            </w:pPr>
            <w:r>
              <w:rPr>
                <w:rFonts w:ascii="方正黑体_GBK" w:hAnsi="方正黑体_GBK" w:eastAsia="方正黑体_GBK" w:cs="宋体"/>
                <w:sz w:val="20"/>
                <w:szCs w:val="24"/>
              </w:rPr>
              <w:t>96008</w:t>
            </w:r>
          </w:p>
        </w:tc>
      </w:tr>
      <w:tr w14:paraId="5FCDD4C3">
        <w:trPr>
          <w:trHeight w:val="300" w:hRule="atLeast"/>
        </w:trPr>
        <w:tc>
          <w:tcPr>
            <w:tcW w:w="2100" w:type="dxa"/>
            <w:tcMar>
              <w:left w:w="120" w:type="dxa"/>
            </w:tcMar>
            <w:vAlign w:val="center"/>
          </w:tcPr>
          <w:p w14:paraId="3271CB07">
            <w:pPr>
              <w:spacing w:line="240" w:lineRule="auto"/>
              <w:rPr>
                <w:sz w:val="28"/>
                <w:szCs w:val="28"/>
              </w:rPr>
            </w:pPr>
            <w:r>
              <w:rPr>
                <w:rFonts w:ascii="方正黑体_GBK" w:hAnsi="方正黑体_GBK" w:eastAsia="方正黑体_GBK" w:cs="宋体"/>
                <w:sz w:val="20"/>
                <w:szCs w:val="24"/>
              </w:rPr>
              <w:t>江苏兴化农村商业银行股份有限公司</w:t>
            </w:r>
          </w:p>
        </w:tc>
        <w:tc>
          <w:tcPr>
            <w:tcW w:w="4050" w:type="dxa"/>
            <w:tcMar>
              <w:left w:w="120" w:type="dxa"/>
            </w:tcMar>
            <w:vAlign w:val="center"/>
          </w:tcPr>
          <w:p w14:paraId="6190BCD1">
            <w:pPr>
              <w:spacing w:line="240" w:lineRule="auto"/>
              <w:rPr>
                <w:sz w:val="28"/>
                <w:szCs w:val="28"/>
              </w:rPr>
            </w:pPr>
            <w:r>
              <w:rPr>
                <w:rFonts w:ascii="方正黑体_GBK" w:hAnsi="方正黑体_GBK" w:eastAsia="方正黑体_GBK" w:cs="宋体"/>
                <w:sz w:val="20"/>
                <w:szCs w:val="24"/>
              </w:rPr>
              <w:t>江苏省兴化市长安南路999号</w:t>
            </w:r>
          </w:p>
        </w:tc>
        <w:tc>
          <w:tcPr>
            <w:tcW w:w="1350" w:type="dxa"/>
            <w:tcMar>
              <w:left w:w="120" w:type="dxa"/>
            </w:tcMar>
            <w:vAlign w:val="center"/>
          </w:tcPr>
          <w:p w14:paraId="69EDB96A">
            <w:pPr>
              <w:spacing w:line="240" w:lineRule="auto"/>
              <w:rPr>
                <w:sz w:val="28"/>
                <w:szCs w:val="28"/>
              </w:rPr>
            </w:pPr>
            <w:r>
              <w:rPr>
                <w:rFonts w:ascii="方正黑体_GBK" w:hAnsi="方正黑体_GBK" w:eastAsia="方正黑体_GBK" w:cs="宋体"/>
                <w:sz w:val="20"/>
                <w:szCs w:val="24"/>
              </w:rPr>
              <w:t>96008</w:t>
            </w:r>
          </w:p>
        </w:tc>
      </w:tr>
      <w:tr w14:paraId="723F37FC">
        <w:trPr>
          <w:trHeight w:val="300" w:hRule="atLeast"/>
        </w:trPr>
        <w:tc>
          <w:tcPr>
            <w:tcW w:w="2100" w:type="dxa"/>
            <w:tcMar>
              <w:left w:w="120" w:type="dxa"/>
            </w:tcMar>
            <w:vAlign w:val="center"/>
          </w:tcPr>
          <w:p w14:paraId="12B4EB6A">
            <w:pPr>
              <w:spacing w:line="240" w:lineRule="auto"/>
              <w:rPr>
                <w:sz w:val="28"/>
                <w:szCs w:val="28"/>
              </w:rPr>
            </w:pPr>
            <w:r>
              <w:rPr>
                <w:rFonts w:ascii="方正黑体_GBK" w:hAnsi="方正黑体_GBK" w:eastAsia="方正黑体_GBK" w:cs="宋体"/>
                <w:sz w:val="20"/>
                <w:szCs w:val="24"/>
              </w:rPr>
              <w:t>江苏镇江农村商业银行股份有限公司</w:t>
            </w:r>
          </w:p>
        </w:tc>
        <w:tc>
          <w:tcPr>
            <w:tcW w:w="4050" w:type="dxa"/>
            <w:tcMar>
              <w:left w:w="120" w:type="dxa"/>
            </w:tcMar>
            <w:vAlign w:val="center"/>
          </w:tcPr>
          <w:p w14:paraId="12407774">
            <w:pPr>
              <w:spacing w:line="240" w:lineRule="auto"/>
              <w:rPr>
                <w:sz w:val="28"/>
                <w:szCs w:val="28"/>
              </w:rPr>
            </w:pPr>
            <w:r>
              <w:rPr>
                <w:rFonts w:ascii="方正黑体_GBK" w:hAnsi="方正黑体_GBK" w:eastAsia="方正黑体_GBK" w:cs="宋体"/>
                <w:sz w:val="20"/>
                <w:szCs w:val="24"/>
              </w:rPr>
              <w:t>江苏省镇江市润州区长江路97号</w:t>
            </w:r>
          </w:p>
        </w:tc>
        <w:tc>
          <w:tcPr>
            <w:tcW w:w="1350" w:type="dxa"/>
            <w:tcMar>
              <w:left w:w="120" w:type="dxa"/>
            </w:tcMar>
            <w:vAlign w:val="center"/>
          </w:tcPr>
          <w:p w14:paraId="425649A6">
            <w:pPr>
              <w:spacing w:line="240" w:lineRule="auto"/>
              <w:rPr>
                <w:sz w:val="28"/>
                <w:szCs w:val="28"/>
              </w:rPr>
            </w:pPr>
            <w:r>
              <w:rPr>
                <w:rFonts w:ascii="方正黑体_GBK" w:hAnsi="方正黑体_GBK" w:eastAsia="方正黑体_GBK" w:cs="宋体"/>
                <w:sz w:val="20"/>
                <w:szCs w:val="24"/>
              </w:rPr>
              <w:t>96008</w:t>
            </w:r>
          </w:p>
        </w:tc>
      </w:tr>
      <w:tr w14:paraId="2706778C">
        <w:trPr>
          <w:trHeight w:val="300" w:hRule="atLeast"/>
        </w:trPr>
        <w:tc>
          <w:tcPr>
            <w:tcW w:w="2100" w:type="dxa"/>
            <w:tcMar>
              <w:left w:w="120" w:type="dxa"/>
            </w:tcMar>
            <w:vAlign w:val="center"/>
          </w:tcPr>
          <w:p w14:paraId="4CCBB04B">
            <w:pPr>
              <w:spacing w:line="240" w:lineRule="auto"/>
              <w:rPr>
                <w:sz w:val="28"/>
                <w:szCs w:val="28"/>
              </w:rPr>
            </w:pPr>
            <w:r>
              <w:rPr>
                <w:rFonts w:ascii="方正黑体_GBK" w:hAnsi="方正黑体_GBK" w:eastAsia="方正黑体_GBK" w:cs="宋体"/>
                <w:sz w:val="20"/>
                <w:szCs w:val="24"/>
              </w:rPr>
              <w:t>江苏如皋农村商业银行股份有限公司</w:t>
            </w:r>
          </w:p>
        </w:tc>
        <w:tc>
          <w:tcPr>
            <w:tcW w:w="4050" w:type="dxa"/>
            <w:tcMar>
              <w:left w:w="120" w:type="dxa"/>
            </w:tcMar>
            <w:vAlign w:val="center"/>
          </w:tcPr>
          <w:p w14:paraId="6A13EF44">
            <w:pPr>
              <w:spacing w:line="240" w:lineRule="auto"/>
              <w:rPr>
                <w:sz w:val="28"/>
                <w:szCs w:val="28"/>
              </w:rPr>
            </w:pPr>
            <w:r>
              <w:rPr>
                <w:rFonts w:ascii="方正黑体_GBK" w:hAnsi="方正黑体_GBK" w:eastAsia="方正黑体_GBK" w:cs="宋体"/>
                <w:sz w:val="20"/>
                <w:szCs w:val="24"/>
              </w:rPr>
              <w:t>如皋市如城街道海阳南路999号</w:t>
            </w:r>
          </w:p>
        </w:tc>
        <w:tc>
          <w:tcPr>
            <w:tcW w:w="1350" w:type="dxa"/>
            <w:tcMar>
              <w:left w:w="120" w:type="dxa"/>
            </w:tcMar>
            <w:vAlign w:val="center"/>
          </w:tcPr>
          <w:p w14:paraId="6CF677D0">
            <w:pPr>
              <w:spacing w:line="240" w:lineRule="auto"/>
              <w:rPr>
                <w:sz w:val="28"/>
                <w:szCs w:val="28"/>
              </w:rPr>
            </w:pPr>
            <w:r>
              <w:rPr>
                <w:rFonts w:ascii="方正黑体_GBK" w:hAnsi="方正黑体_GBK" w:eastAsia="方正黑体_GBK" w:cs="宋体"/>
                <w:sz w:val="20"/>
                <w:szCs w:val="24"/>
              </w:rPr>
              <w:t>96008</w:t>
            </w:r>
          </w:p>
        </w:tc>
      </w:tr>
      <w:tr w14:paraId="5FB8DAD1">
        <w:trPr>
          <w:trHeight w:val="300" w:hRule="atLeast"/>
        </w:trPr>
        <w:tc>
          <w:tcPr>
            <w:tcW w:w="2100" w:type="dxa"/>
            <w:tcMar>
              <w:left w:w="120" w:type="dxa"/>
            </w:tcMar>
            <w:vAlign w:val="center"/>
          </w:tcPr>
          <w:p w14:paraId="6174B4D0">
            <w:pPr>
              <w:spacing w:line="240" w:lineRule="auto"/>
              <w:rPr>
                <w:sz w:val="28"/>
                <w:szCs w:val="28"/>
              </w:rPr>
            </w:pPr>
            <w:r>
              <w:rPr>
                <w:rFonts w:ascii="方正黑体_GBK" w:hAnsi="方正黑体_GBK" w:eastAsia="方正黑体_GBK" w:cs="宋体"/>
                <w:sz w:val="20"/>
                <w:szCs w:val="24"/>
              </w:rPr>
              <w:t>江苏宝应农村商业银行股份有限公司</w:t>
            </w:r>
          </w:p>
        </w:tc>
        <w:tc>
          <w:tcPr>
            <w:tcW w:w="4050" w:type="dxa"/>
            <w:tcMar>
              <w:left w:w="120" w:type="dxa"/>
            </w:tcMar>
            <w:vAlign w:val="center"/>
          </w:tcPr>
          <w:p w14:paraId="4B3FDFBB">
            <w:pPr>
              <w:spacing w:line="240" w:lineRule="auto"/>
              <w:rPr>
                <w:sz w:val="28"/>
                <w:szCs w:val="28"/>
              </w:rPr>
            </w:pPr>
            <w:r>
              <w:rPr>
                <w:rFonts w:ascii="方正黑体_GBK" w:hAnsi="方正黑体_GBK" w:eastAsia="方正黑体_GBK" w:cs="宋体"/>
                <w:sz w:val="20"/>
                <w:szCs w:val="24"/>
              </w:rPr>
              <w:t>江苏省宝应县文津路1号</w:t>
            </w:r>
          </w:p>
        </w:tc>
        <w:tc>
          <w:tcPr>
            <w:tcW w:w="1350" w:type="dxa"/>
            <w:tcMar>
              <w:left w:w="120" w:type="dxa"/>
            </w:tcMar>
            <w:vAlign w:val="center"/>
          </w:tcPr>
          <w:p w14:paraId="67CEC27F">
            <w:pPr>
              <w:spacing w:line="240" w:lineRule="auto"/>
              <w:rPr>
                <w:sz w:val="28"/>
                <w:szCs w:val="28"/>
              </w:rPr>
            </w:pPr>
            <w:r>
              <w:rPr>
                <w:rFonts w:ascii="方正黑体_GBK" w:hAnsi="方正黑体_GBK" w:eastAsia="方正黑体_GBK" w:cs="宋体"/>
                <w:sz w:val="20"/>
                <w:szCs w:val="24"/>
              </w:rPr>
              <w:t>96008</w:t>
            </w:r>
          </w:p>
        </w:tc>
      </w:tr>
      <w:tr w14:paraId="2ADC8950">
        <w:trPr>
          <w:trHeight w:val="300" w:hRule="atLeast"/>
        </w:trPr>
        <w:tc>
          <w:tcPr>
            <w:tcW w:w="2100" w:type="dxa"/>
            <w:tcMar>
              <w:left w:w="120" w:type="dxa"/>
            </w:tcMar>
            <w:vAlign w:val="center"/>
          </w:tcPr>
          <w:p w14:paraId="1DD9A0F4">
            <w:pPr>
              <w:spacing w:line="240" w:lineRule="auto"/>
              <w:rPr>
                <w:sz w:val="28"/>
                <w:szCs w:val="28"/>
              </w:rPr>
            </w:pPr>
            <w:r>
              <w:rPr>
                <w:rFonts w:ascii="方正黑体_GBK" w:hAnsi="方正黑体_GBK" w:eastAsia="方正黑体_GBK" w:cs="宋体"/>
                <w:sz w:val="20"/>
                <w:szCs w:val="24"/>
              </w:rPr>
              <w:t>徐州农村商业银行股份有限公司</w:t>
            </w:r>
          </w:p>
        </w:tc>
        <w:tc>
          <w:tcPr>
            <w:tcW w:w="4050" w:type="dxa"/>
            <w:tcMar>
              <w:left w:w="120" w:type="dxa"/>
            </w:tcMar>
            <w:vAlign w:val="center"/>
          </w:tcPr>
          <w:p w14:paraId="52C511B6">
            <w:pPr>
              <w:spacing w:line="240" w:lineRule="auto"/>
              <w:rPr>
                <w:sz w:val="28"/>
                <w:szCs w:val="28"/>
              </w:rPr>
            </w:pPr>
            <w:r>
              <w:rPr>
                <w:rFonts w:ascii="方正黑体_GBK" w:hAnsi="方正黑体_GBK" w:eastAsia="方正黑体_GBK" w:cs="宋体"/>
                <w:sz w:val="20"/>
                <w:szCs w:val="24"/>
              </w:rPr>
              <w:t>徐州市铜山区北京南路26号</w:t>
            </w:r>
          </w:p>
        </w:tc>
        <w:tc>
          <w:tcPr>
            <w:tcW w:w="1350" w:type="dxa"/>
            <w:tcMar>
              <w:left w:w="120" w:type="dxa"/>
            </w:tcMar>
            <w:vAlign w:val="center"/>
          </w:tcPr>
          <w:p w14:paraId="31E174FB">
            <w:pPr>
              <w:spacing w:line="240" w:lineRule="auto"/>
              <w:rPr>
                <w:sz w:val="28"/>
                <w:szCs w:val="28"/>
              </w:rPr>
            </w:pPr>
            <w:r>
              <w:rPr>
                <w:rFonts w:ascii="方正黑体_GBK" w:hAnsi="方正黑体_GBK" w:eastAsia="方正黑体_GBK" w:cs="宋体"/>
                <w:sz w:val="20"/>
                <w:szCs w:val="24"/>
              </w:rPr>
              <w:t>96008</w:t>
            </w:r>
          </w:p>
        </w:tc>
      </w:tr>
      <w:tr w14:paraId="1D9AAF8F">
        <w:trPr>
          <w:trHeight w:val="300" w:hRule="atLeast"/>
        </w:trPr>
        <w:tc>
          <w:tcPr>
            <w:tcW w:w="2100" w:type="dxa"/>
            <w:tcMar>
              <w:left w:w="120" w:type="dxa"/>
            </w:tcMar>
            <w:vAlign w:val="center"/>
          </w:tcPr>
          <w:p w14:paraId="01E922B3">
            <w:pPr>
              <w:spacing w:line="240" w:lineRule="auto"/>
              <w:rPr>
                <w:sz w:val="28"/>
                <w:szCs w:val="28"/>
              </w:rPr>
            </w:pPr>
            <w:r>
              <w:rPr>
                <w:rFonts w:ascii="方正黑体_GBK" w:hAnsi="方正黑体_GBK" w:eastAsia="方正黑体_GBK" w:cs="宋体"/>
                <w:sz w:val="20"/>
                <w:szCs w:val="24"/>
              </w:rPr>
              <w:t>枣庄银行股份有限公司</w:t>
            </w:r>
          </w:p>
        </w:tc>
        <w:tc>
          <w:tcPr>
            <w:tcW w:w="4050" w:type="dxa"/>
            <w:tcMar>
              <w:left w:w="120" w:type="dxa"/>
            </w:tcMar>
            <w:vAlign w:val="center"/>
          </w:tcPr>
          <w:p w14:paraId="7F972142">
            <w:pPr>
              <w:spacing w:line="240" w:lineRule="auto"/>
              <w:rPr>
                <w:sz w:val="28"/>
                <w:szCs w:val="28"/>
              </w:rPr>
            </w:pPr>
            <w:r>
              <w:rPr>
                <w:rFonts w:ascii="方正黑体_GBK" w:hAnsi="方正黑体_GBK" w:eastAsia="方正黑体_GBK" w:cs="宋体"/>
                <w:sz w:val="20"/>
                <w:szCs w:val="24"/>
              </w:rPr>
              <w:t>山东省枣庄市薛城区光明大道1666号</w:t>
            </w:r>
          </w:p>
        </w:tc>
        <w:tc>
          <w:tcPr>
            <w:tcW w:w="1350" w:type="dxa"/>
            <w:tcMar>
              <w:left w:w="120" w:type="dxa"/>
            </w:tcMar>
            <w:vAlign w:val="center"/>
          </w:tcPr>
          <w:p w14:paraId="6B215858">
            <w:pPr>
              <w:spacing w:line="240" w:lineRule="auto"/>
              <w:rPr>
                <w:sz w:val="28"/>
                <w:szCs w:val="28"/>
              </w:rPr>
            </w:pPr>
            <w:r>
              <w:rPr>
                <w:rFonts w:ascii="方正黑体_GBK" w:hAnsi="方正黑体_GBK" w:eastAsia="方正黑体_GBK" w:cs="宋体"/>
                <w:sz w:val="20"/>
                <w:szCs w:val="24"/>
              </w:rPr>
              <w:t>4008196588</w:t>
            </w:r>
          </w:p>
        </w:tc>
      </w:tr>
      <w:tr w14:paraId="475CEC94">
        <w:trPr>
          <w:trHeight w:val="300" w:hRule="atLeast"/>
        </w:trPr>
        <w:tc>
          <w:tcPr>
            <w:tcW w:w="2100" w:type="dxa"/>
            <w:tcMar>
              <w:left w:w="120" w:type="dxa"/>
            </w:tcMar>
            <w:vAlign w:val="center"/>
          </w:tcPr>
          <w:p w14:paraId="7F01A2C9">
            <w:pPr>
              <w:spacing w:line="240" w:lineRule="auto"/>
              <w:rPr>
                <w:sz w:val="28"/>
                <w:szCs w:val="28"/>
              </w:rPr>
            </w:pPr>
            <w:r>
              <w:rPr>
                <w:rFonts w:ascii="方正黑体_GBK" w:hAnsi="方正黑体_GBK" w:eastAsia="方正黑体_GBK" w:cs="宋体"/>
                <w:sz w:val="20"/>
                <w:szCs w:val="24"/>
              </w:rPr>
              <w:t>海南银行股份有限公司</w:t>
            </w:r>
          </w:p>
        </w:tc>
        <w:tc>
          <w:tcPr>
            <w:tcW w:w="4050" w:type="dxa"/>
            <w:tcMar>
              <w:left w:w="120" w:type="dxa"/>
            </w:tcMar>
            <w:vAlign w:val="center"/>
          </w:tcPr>
          <w:p w14:paraId="2DB46953">
            <w:pPr>
              <w:spacing w:line="240" w:lineRule="auto"/>
              <w:rPr>
                <w:sz w:val="28"/>
                <w:szCs w:val="28"/>
              </w:rPr>
            </w:pPr>
            <w:r>
              <w:rPr>
                <w:rFonts w:ascii="方正黑体_GBK" w:hAnsi="方正黑体_GBK" w:eastAsia="方正黑体_GBK" w:cs="宋体"/>
                <w:sz w:val="20"/>
                <w:szCs w:val="24"/>
              </w:rPr>
              <w:t>海南省海口市龙华区海秀东路31号</w:t>
            </w:r>
          </w:p>
        </w:tc>
        <w:tc>
          <w:tcPr>
            <w:tcW w:w="1350" w:type="dxa"/>
            <w:tcMar>
              <w:left w:w="120" w:type="dxa"/>
            </w:tcMar>
            <w:vAlign w:val="center"/>
          </w:tcPr>
          <w:p w14:paraId="5069C97E">
            <w:pPr>
              <w:spacing w:line="240" w:lineRule="auto"/>
              <w:rPr>
                <w:sz w:val="28"/>
                <w:szCs w:val="28"/>
              </w:rPr>
            </w:pPr>
            <w:r>
              <w:rPr>
                <w:rFonts w:ascii="方正黑体_GBK" w:hAnsi="方正黑体_GBK" w:eastAsia="方正黑体_GBK" w:cs="宋体"/>
                <w:sz w:val="20"/>
                <w:szCs w:val="24"/>
              </w:rPr>
              <w:t>0898-66505978</w:t>
            </w:r>
          </w:p>
        </w:tc>
      </w:tr>
      <w:tr w14:paraId="7D75F246">
        <w:trPr>
          <w:trHeight w:val="300" w:hRule="atLeast"/>
        </w:trPr>
        <w:tc>
          <w:tcPr>
            <w:tcW w:w="2100" w:type="dxa"/>
            <w:tcMar>
              <w:left w:w="120" w:type="dxa"/>
            </w:tcMar>
            <w:vAlign w:val="center"/>
          </w:tcPr>
          <w:p w14:paraId="2E63F1DE">
            <w:pPr>
              <w:spacing w:line="240" w:lineRule="auto"/>
              <w:rPr>
                <w:sz w:val="28"/>
                <w:szCs w:val="28"/>
              </w:rPr>
            </w:pPr>
            <w:r>
              <w:rPr>
                <w:rFonts w:ascii="方正黑体_GBK" w:hAnsi="方正黑体_GBK" w:eastAsia="方正黑体_GBK" w:cs="宋体"/>
                <w:sz w:val="20"/>
                <w:szCs w:val="24"/>
              </w:rPr>
              <w:t>江苏丰县农村商业银行股份有限公司</w:t>
            </w:r>
          </w:p>
        </w:tc>
        <w:tc>
          <w:tcPr>
            <w:tcW w:w="4050" w:type="dxa"/>
            <w:tcMar>
              <w:left w:w="120" w:type="dxa"/>
            </w:tcMar>
            <w:vAlign w:val="center"/>
          </w:tcPr>
          <w:p w14:paraId="33B0049B">
            <w:pPr>
              <w:spacing w:line="240" w:lineRule="auto"/>
              <w:rPr>
                <w:sz w:val="28"/>
                <w:szCs w:val="28"/>
              </w:rPr>
            </w:pPr>
            <w:r>
              <w:rPr>
                <w:rFonts w:ascii="方正黑体_GBK" w:hAnsi="方正黑体_GBK" w:eastAsia="方正黑体_GBK" w:cs="宋体"/>
                <w:sz w:val="20"/>
                <w:szCs w:val="24"/>
              </w:rPr>
              <w:t>江苏省丰县人民中路9号</w:t>
            </w:r>
          </w:p>
        </w:tc>
        <w:tc>
          <w:tcPr>
            <w:tcW w:w="1350" w:type="dxa"/>
            <w:tcMar>
              <w:left w:w="120" w:type="dxa"/>
            </w:tcMar>
            <w:vAlign w:val="center"/>
          </w:tcPr>
          <w:p w14:paraId="23DD7C37">
            <w:pPr>
              <w:spacing w:line="240" w:lineRule="auto"/>
              <w:rPr>
                <w:sz w:val="28"/>
                <w:szCs w:val="28"/>
              </w:rPr>
            </w:pPr>
            <w:r>
              <w:rPr>
                <w:rFonts w:ascii="方正黑体_GBK" w:hAnsi="方正黑体_GBK" w:eastAsia="方正黑体_GBK" w:cs="宋体"/>
                <w:sz w:val="20"/>
                <w:szCs w:val="24"/>
              </w:rPr>
              <w:t>96008</w:t>
            </w:r>
          </w:p>
        </w:tc>
      </w:tr>
      <w:tr w14:paraId="5CDE2895">
        <w:trPr>
          <w:trHeight w:val="300" w:hRule="atLeast"/>
        </w:trPr>
        <w:tc>
          <w:tcPr>
            <w:tcW w:w="2100" w:type="dxa"/>
            <w:tcMar>
              <w:left w:w="120" w:type="dxa"/>
            </w:tcMar>
            <w:vAlign w:val="center"/>
          </w:tcPr>
          <w:p w14:paraId="71C9BFF3">
            <w:pPr>
              <w:spacing w:line="240" w:lineRule="auto"/>
              <w:rPr>
                <w:sz w:val="28"/>
                <w:szCs w:val="28"/>
              </w:rPr>
            </w:pPr>
            <w:r>
              <w:rPr>
                <w:rFonts w:ascii="方正黑体_GBK" w:hAnsi="方正黑体_GBK" w:eastAsia="方正黑体_GBK" w:cs="宋体"/>
                <w:sz w:val="20"/>
                <w:szCs w:val="24"/>
              </w:rPr>
              <w:t>江苏射阳农村商业银行股份有限公司</w:t>
            </w:r>
          </w:p>
        </w:tc>
        <w:tc>
          <w:tcPr>
            <w:tcW w:w="4050" w:type="dxa"/>
            <w:tcMar>
              <w:left w:w="120" w:type="dxa"/>
            </w:tcMar>
            <w:vAlign w:val="center"/>
          </w:tcPr>
          <w:p w14:paraId="2B4A8FA8">
            <w:pPr>
              <w:spacing w:line="240" w:lineRule="auto"/>
              <w:rPr>
                <w:sz w:val="28"/>
                <w:szCs w:val="28"/>
              </w:rPr>
            </w:pPr>
            <w:r>
              <w:rPr>
                <w:rFonts w:ascii="方正黑体_GBK" w:hAnsi="方正黑体_GBK" w:eastAsia="方正黑体_GBK" w:cs="宋体"/>
                <w:sz w:val="20"/>
                <w:szCs w:val="24"/>
              </w:rPr>
              <w:t>射阳县合德镇解放路385号</w:t>
            </w:r>
          </w:p>
        </w:tc>
        <w:tc>
          <w:tcPr>
            <w:tcW w:w="1350" w:type="dxa"/>
            <w:tcMar>
              <w:left w:w="120" w:type="dxa"/>
            </w:tcMar>
            <w:vAlign w:val="center"/>
          </w:tcPr>
          <w:p w14:paraId="1D641AF3">
            <w:pPr>
              <w:spacing w:line="240" w:lineRule="auto"/>
              <w:rPr>
                <w:sz w:val="28"/>
                <w:szCs w:val="28"/>
              </w:rPr>
            </w:pPr>
            <w:r>
              <w:rPr>
                <w:rFonts w:ascii="方正黑体_GBK" w:hAnsi="方正黑体_GBK" w:eastAsia="方正黑体_GBK" w:cs="宋体"/>
                <w:sz w:val="20"/>
                <w:szCs w:val="24"/>
              </w:rPr>
              <w:t>96008</w:t>
            </w:r>
          </w:p>
        </w:tc>
      </w:tr>
      <w:tr w14:paraId="65865AE0">
        <w:trPr>
          <w:trHeight w:val="300" w:hRule="atLeast"/>
        </w:trPr>
        <w:tc>
          <w:tcPr>
            <w:tcW w:w="2100" w:type="dxa"/>
            <w:tcMar>
              <w:left w:w="120" w:type="dxa"/>
            </w:tcMar>
            <w:vAlign w:val="center"/>
          </w:tcPr>
          <w:p w14:paraId="20CC75FF">
            <w:pPr>
              <w:spacing w:line="240" w:lineRule="auto"/>
              <w:rPr>
                <w:sz w:val="28"/>
                <w:szCs w:val="28"/>
              </w:rPr>
            </w:pPr>
            <w:r>
              <w:rPr>
                <w:rFonts w:ascii="方正黑体_GBK" w:hAnsi="方正黑体_GBK" w:eastAsia="方正黑体_GBK" w:cs="宋体"/>
                <w:sz w:val="20"/>
                <w:szCs w:val="24"/>
              </w:rPr>
              <w:t>江苏句容农村商业银行股份有限公司</w:t>
            </w:r>
          </w:p>
        </w:tc>
        <w:tc>
          <w:tcPr>
            <w:tcW w:w="4050" w:type="dxa"/>
            <w:tcMar>
              <w:left w:w="120" w:type="dxa"/>
            </w:tcMar>
            <w:vAlign w:val="center"/>
          </w:tcPr>
          <w:p w14:paraId="1ADDCECD">
            <w:pPr>
              <w:spacing w:line="240" w:lineRule="auto"/>
              <w:rPr>
                <w:sz w:val="28"/>
                <w:szCs w:val="28"/>
              </w:rPr>
            </w:pPr>
            <w:r>
              <w:rPr>
                <w:rFonts w:ascii="方正黑体_GBK" w:hAnsi="方正黑体_GBK" w:eastAsia="方正黑体_GBK" w:cs="宋体"/>
                <w:sz w:val="20"/>
                <w:szCs w:val="24"/>
              </w:rPr>
              <w:t>江苏省句容市福地东路66号</w:t>
            </w:r>
          </w:p>
        </w:tc>
        <w:tc>
          <w:tcPr>
            <w:tcW w:w="1350" w:type="dxa"/>
            <w:tcMar>
              <w:left w:w="120" w:type="dxa"/>
            </w:tcMar>
            <w:vAlign w:val="center"/>
          </w:tcPr>
          <w:p w14:paraId="1CF559F6">
            <w:pPr>
              <w:spacing w:line="240" w:lineRule="auto"/>
              <w:rPr>
                <w:sz w:val="28"/>
                <w:szCs w:val="28"/>
              </w:rPr>
            </w:pPr>
            <w:r>
              <w:rPr>
                <w:rFonts w:ascii="方正黑体_GBK" w:hAnsi="方正黑体_GBK" w:eastAsia="方正黑体_GBK" w:cs="宋体"/>
                <w:sz w:val="20"/>
                <w:szCs w:val="24"/>
              </w:rPr>
              <w:t>96008</w:t>
            </w:r>
          </w:p>
        </w:tc>
      </w:tr>
      <w:tr w14:paraId="741C3BB3">
        <w:trPr>
          <w:trHeight w:val="300" w:hRule="atLeast"/>
        </w:trPr>
        <w:tc>
          <w:tcPr>
            <w:tcW w:w="2100" w:type="dxa"/>
            <w:tcMar>
              <w:left w:w="120" w:type="dxa"/>
            </w:tcMar>
            <w:vAlign w:val="center"/>
          </w:tcPr>
          <w:p w14:paraId="5D355ACA">
            <w:pPr>
              <w:spacing w:line="240" w:lineRule="auto"/>
              <w:rPr>
                <w:sz w:val="28"/>
                <w:szCs w:val="28"/>
              </w:rPr>
            </w:pPr>
            <w:r>
              <w:rPr>
                <w:rFonts w:ascii="方正黑体_GBK" w:hAnsi="方正黑体_GBK" w:eastAsia="方正黑体_GBK" w:cs="宋体"/>
                <w:sz w:val="20"/>
                <w:szCs w:val="24"/>
              </w:rPr>
              <w:t>烟台银行股份有限公司</w:t>
            </w:r>
          </w:p>
        </w:tc>
        <w:tc>
          <w:tcPr>
            <w:tcW w:w="4050" w:type="dxa"/>
            <w:tcMar>
              <w:left w:w="120" w:type="dxa"/>
            </w:tcMar>
            <w:vAlign w:val="center"/>
          </w:tcPr>
          <w:p w14:paraId="0DE029D7">
            <w:pPr>
              <w:spacing w:line="240" w:lineRule="auto"/>
              <w:rPr>
                <w:sz w:val="28"/>
                <w:szCs w:val="28"/>
              </w:rPr>
            </w:pPr>
            <w:r>
              <w:rPr>
                <w:rFonts w:ascii="方正黑体_GBK" w:hAnsi="方正黑体_GBK" w:eastAsia="方正黑体_GBK" w:cs="宋体"/>
                <w:sz w:val="20"/>
                <w:szCs w:val="24"/>
              </w:rPr>
              <w:t>烟台市芝罘区海港路25号</w:t>
            </w:r>
          </w:p>
        </w:tc>
        <w:tc>
          <w:tcPr>
            <w:tcW w:w="1350" w:type="dxa"/>
            <w:tcMar>
              <w:left w:w="120" w:type="dxa"/>
            </w:tcMar>
            <w:vAlign w:val="center"/>
          </w:tcPr>
          <w:p w14:paraId="6FF1D36F">
            <w:pPr>
              <w:spacing w:line="240" w:lineRule="auto"/>
              <w:rPr>
                <w:sz w:val="28"/>
                <w:szCs w:val="28"/>
              </w:rPr>
            </w:pPr>
            <w:r>
              <w:rPr>
                <w:rFonts w:ascii="方正黑体_GBK" w:hAnsi="方正黑体_GBK" w:eastAsia="方正黑体_GBK" w:cs="宋体"/>
                <w:sz w:val="20"/>
                <w:szCs w:val="24"/>
              </w:rPr>
              <w:t>0535-6691305</w:t>
            </w:r>
          </w:p>
        </w:tc>
      </w:tr>
      <w:tr w14:paraId="2C9671F7">
        <w:trPr>
          <w:trHeight w:val="300" w:hRule="atLeast"/>
        </w:trPr>
        <w:tc>
          <w:tcPr>
            <w:tcW w:w="2100" w:type="dxa"/>
            <w:tcMar>
              <w:left w:w="120" w:type="dxa"/>
            </w:tcMar>
            <w:vAlign w:val="center"/>
          </w:tcPr>
          <w:p w14:paraId="008E7792">
            <w:pPr>
              <w:spacing w:line="240" w:lineRule="auto"/>
              <w:rPr>
                <w:sz w:val="28"/>
                <w:szCs w:val="28"/>
              </w:rPr>
            </w:pPr>
            <w:r>
              <w:rPr>
                <w:rFonts w:ascii="方正黑体_GBK" w:hAnsi="方正黑体_GBK" w:eastAsia="方正黑体_GBK" w:cs="宋体"/>
                <w:sz w:val="20"/>
                <w:szCs w:val="24"/>
              </w:rPr>
              <w:t>江苏泗洪农村商业银行股份有限公司</w:t>
            </w:r>
          </w:p>
        </w:tc>
        <w:tc>
          <w:tcPr>
            <w:tcW w:w="4050" w:type="dxa"/>
            <w:tcMar>
              <w:left w:w="120" w:type="dxa"/>
            </w:tcMar>
            <w:vAlign w:val="center"/>
          </w:tcPr>
          <w:p w14:paraId="2F7E49D7">
            <w:pPr>
              <w:spacing w:line="240" w:lineRule="auto"/>
              <w:rPr>
                <w:sz w:val="28"/>
                <w:szCs w:val="28"/>
              </w:rPr>
            </w:pPr>
            <w:r>
              <w:rPr>
                <w:rFonts w:ascii="方正黑体_GBK" w:hAnsi="方正黑体_GBK" w:eastAsia="方正黑体_GBK" w:cs="宋体"/>
                <w:sz w:val="20"/>
                <w:szCs w:val="24"/>
              </w:rPr>
              <w:t>江苏省宿迁市泗洪县长江东路17号</w:t>
            </w:r>
          </w:p>
        </w:tc>
        <w:tc>
          <w:tcPr>
            <w:tcW w:w="1350" w:type="dxa"/>
            <w:tcMar>
              <w:left w:w="120" w:type="dxa"/>
            </w:tcMar>
            <w:vAlign w:val="center"/>
          </w:tcPr>
          <w:p w14:paraId="1A84D3A6">
            <w:pPr>
              <w:spacing w:line="240" w:lineRule="auto"/>
              <w:rPr>
                <w:sz w:val="28"/>
                <w:szCs w:val="28"/>
              </w:rPr>
            </w:pPr>
            <w:r>
              <w:rPr>
                <w:rFonts w:ascii="方正黑体_GBK" w:hAnsi="方正黑体_GBK" w:eastAsia="方正黑体_GBK" w:cs="宋体"/>
                <w:sz w:val="20"/>
                <w:szCs w:val="24"/>
              </w:rPr>
              <w:t>96008</w:t>
            </w:r>
          </w:p>
        </w:tc>
      </w:tr>
      <w:tr w14:paraId="42B62FC5">
        <w:trPr>
          <w:trHeight w:val="300" w:hRule="atLeast"/>
        </w:trPr>
        <w:tc>
          <w:tcPr>
            <w:tcW w:w="2100" w:type="dxa"/>
            <w:tcMar>
              <w:left w:w="120" w:type="dxa"/>
            </w:tcMar>
            <w:vAlign w:val="center"/>
          </w:tcPr>
          <w:p w14:paraId="1D1DEFF9">
            <w:pPr>
              <w:spacing w:line="240" w:lineRule="auto"/>
              <w:rPr>
                <w:sz w:val="28"/>
                <w:szCs w:val="28"/>
              </w:rPr>
            </w:pPr>
            <w:r>
              <w:rPr>
                <w:rFonts w:ascii="方正黑体_GBK" w:hAnsi="方正黑体_GBK" w:eastAsia="方正黑体_GBK" w:cs="宋体"/>
                <w:sz w:val="20"/>
                <w:szCs w:val="24"/>
              </w:rPr>
              <w:t>江苏泗阳农村商业银行股份有限公司</w:t>
            </w:r>
          </w:p>
        </w:tc>
        <w:tc>
          <w:tcPr>
            <w:tcW w:w="4050" w:type="dxa"/>
            <w:tcMar>
              <w:left w:w="120" w:type="dxa"/>
            </w:tcMar>
            <w:vAlign w:val="center"/>
          </w:tcPr>
          <w:p w14:paraId="1D131A80">
            <w:pPr>
              <w:spacing w:line="240" w:lineRule="auto"/>
              <w:rPr>
                <w:sz w:val="28"/>
                <w:szCs w:val="28"/>
              </w:rPr>
            </w:pPr>
            <w:r>
              <w:rPr>
                <w:rFonts w:ascii="方正黑体_GBK" w:hAnsi="方正黑体_GBK" w:eastAsia="方正黑体_GBK" w:cs="宋体"/>
                <w:sz w:val="20"/>
                <w:szCs w:val="24"/>
              </w:rPr>
              <w:t>宿迁市泗阳县众兴镇北京中路21号</w:t>
            </w:r>
          </w:p>
        </w:tc>
        <w:tc>
          <w:tcPr>
            <w:tcW w:w="1350" w:type="dxa"/>
            <w:tcMar>
              <w:left w:w="120" w:type="dxa"/>
            </w:tcMar>
            <w:vAlign w:val="center"/>
          </w:tcPr>
          <w:p w14:paraId="280A3670">
            <w:pPr>
              <w:spacing w:line="240" w:lineRule="auto"/>
              <w:rPr>
                <w:sz w:val="28"/>
                <w:szCs w:val="28"/>
              </w:rPr>
            </w:pPr>
            <w:r>
              <w:rPr>
                <w:rFonts w:ascii="方正黑体_GBK" w:hAnsi="方正黑体_GBK" w:eastAsia="方正黑体_GBK" w:cs="宋体"/>
                <w:sz w:val="20"/>
                <w:szCs w:val="24"/>
              </w:rPr>
              <w:t>96008</w:t>
            </w:r>
          </w:p>
        </w:tc>
      </w:tr>
      <w:tr w14:paraId="5AB2C45D">
        <w:trPr>
          <w:trHeight w:val="300" w:hRule="atLeast"/>
        </w:trPr>
        <w:tc>
          <w:tcPr>
            <w:tcW w:w="2100" w:type="dxa"/>
            <w:tcMar>
              <w:left w:w="120" w:type="dxa"/>
            </w:tcMar>
            <w:vAlign w:val="center"/>
          </w:tcPr>
          <w:p w14:paraId="0EF8502C">
            <w:pPr>
              <w:spacing w:line="240" w:lineRule="auto"/>
              <w:rPr>
                <w:sz w:val="28"/>
                <w:szCs w:val="28"/>
              </w:rPr>
            </w:pPr>
            <w:r>
              <w:rPr>
                <w:rFonts w:ascii="方正黑体_GBK" w:hAnsi="方正黑体_GBK" w:eastAsia="方正黑体_GBK" w:cs="宋体"/>
                <w:sz w:val="20"/>
                <w:szCs w:val="24"/>
              </w:rPr>
              <w:t>江苏张家港农村商业银行股份有限公司</w:t>
            </w:r>
          </w:p>
        </w:tc>
        <w:tc>
          <w:tcPr>
            <w:tcW w:w="4050" w:type="dxa"/>
            <w:tcMar>
              <w:left w:w="120" w:type="dxa"/>
            </w:tcMar>
            <w:vAlign w:val="center"/>
          </w:tcPr>
          <w:p w14:paraId="5919081A">
            <w:pPr>
              <w:spacing w:line="240" w:lineRule="auto"/>
              <w:rPr>
                <w:sz w:val="28"/>
                <w:szCs w:val="28"/>
              </w:rPr>
            </w:pPr>
            <w:r>
              <w:rPr>
                <w:rFonts w:ascii="方正黑体_GBK" w:hAnsi="方正黑体_GBK" w:eastAsia="方正黑体_GBK" w:cs="宋体"/>
                <w:sz w:val="20"/>
                <w:szCs w:val="24"/>
              </w:rPr>
              <w:t>张家港市杨舍镇人民中路66号</w:t>
            </w:r>
          </w:p>
        </w:tc>
        <w:tc>
          <w:tcPr>
            <w:tcW w:w="1350" w:type="dxa"/>
            <w:tcMar>
              <w:left w:w="120" w:type="dxa"/>
            </w:tcMar>
            <w:vAlign w:val="center"/>
          </w:tcPr>
          <w:p w14:paraId="13494F35">
            <w:pPr>
              <w:spacing w:line="240" w:lineRule="auto"/>
              <w:rPr>
                <w:sz w:val="28"/>
                <w:szCs w:val="28"/>
              </w:rPr>
            </w:pPr>
            <w:r>
              <w:rPr>
                <w:rFonts w:ascii="方正黑体_GBK" w:hAnsi="方正黑体_GBK" w:eastAsia="方正黑体_GBK" w:cs="宋体"/>
                <w:sz w:val="20"/>
                <w:szCs w:val="24"/>
              </w:rPr>
              <w:t>96065</w:t>
            </w:r>
          </w:p>
        </w:tc>
      </w:tr>
      <w:tr w14:paraId="07A271E0">
        <w:trPr>
          <w:trHeight w:val="300" w:hRule="atLeast"/>
        </w:trPr>
        <w:tc>
          <w:tcPr>
            <w:tcW w:w="2100" w:type="dxa"/>
            <w:tcMar>
              <w:left w:w="120" w:type="dxa"/>
            </w:tcMar>
            <w:vAlign w:val="center"/>
          </w:tcPr>
          <w:p w14:paraId="656BA320">
            <w:pPr>
              <w:spacing w:line="240" w:lineRule="auto"/>
              <w:rPr>
                <w:sz w:val="28"/>
                <w:szCs w:val="28"/>
              </w:rPr>
            </w:pPr>
            <w:r>
              <w:rPr>
                <w:rFonts w:ascii="方正黑体_GBK" w:hAnsi="方正黑体_GBK" w:eastAsia="方正黑体_GBK" w:cs="宋体"/>
                <w:sz w:val="20"/>
                <w:szCs w:val="24"/>
              </w:rPr>
              <w:t>江苏江阴农村商业银行股份有限公司</w:t>
            </w:r>
          </w:p>
        </w:tc>
        <w:tc>
          <w:tcPr>
            <w:tcW w:w="4050" w:type="dxa"/>
            <w:tcMar>
              <w:left w:w="120" w:type="dxa"/>
            </w:tcMar>
            <w:vAlign w:val="center"/>
          </w:tcPr>
          <w:p w14:paraId="1A28CE1E">
            <w:pPr>
              <w:spacing w:line="240" w:lineRule="auto"/>
              <w:rPr>
                <w:sz w:val="28"/>
                <w:szCs w:val="28"/>
              </w:rPr>
            </w:pPr>
            <w:r>
              <w:rPr>
                <w:rFonts w:ascii="方正黑体_GBK" w:hAnsi="方正黑体_GBK" w:eastAsia="方正黑体_GBK" w:cs="宋体"/>
                <w:sz w:val="20"/>
                <w:szCs w:val="24"/>
              </w:rPr>
              <w:t>江阴市澄江中路1号</w:t>
            </w:r>
          </w:p>
        </w:tc>
        <w:tc>
          <w:tcPr>
            <w:tcW w:w="1350" w:type="dxa"/>
            <w:tcMar>
              <w:left w:w="120" w:type="dxa"/>
            </w:tcMar>
            <w:vAlign w:val="center"/>
          </w:tcPr>
          <w:p w14:paraId="35424C34">
            <w:pPr>
              <w:spacing w:line="240" w:lineRule="auto"/>
              <w:rPr>
                <w:sz w:val="28"/>
                <w:szCs w:val="28"/>
              </w:rPr>
            </w:pPr>
            <w:r>
              <w:rPr>
                <w:rFonts w:ascii="方正黑体_GBK" w:hAnsi="方正黑体_GBK" w:eastAsia="方正黑体_GBK" w:cs="宋体"/>
                <w:sz w:val="20"/>
                <w:szCs w:val="24"/>
              </w:rPr>
              <w:t>96078</w:t>
            </w:r>
          </w:p>
        </w:tc>
      </w:tr>
      <w:tr w14:paraId="7639552E">
        <w:trPr>
          <w:trHeight w:val="300" w:hRule="atLeast"/>
        </w:trPr>
        <w:tc>
          <w:tcPr>
            <w:tcW w:w="2100" w:type="dxa"/>
            <w:tcMar>
              <w:left w:w="120" w:type="dxa"/>
            </w:tcMar>
            <w:vAlign w:val="center"/>
          </w:tcPr>
          <w:p w14:paraId="21CBB6EC">
            <w:pPr>
              <w:spacing w:line="240" w:lineRule="auto"/>
              <w:rPr>
                <w:sz w:val="28"/>
                <w:szCs w:val="28"/>
              </w:rPr>
            </w:pPr>
            <w:r>
              <w:rPr>
                <w:rFonts w:ascii="方正黑体_GBK" w:hAnsi="方正黑体_GBK" w:eastAsia="方正黑体_GBK" w:cs="宋体"/>
                <w:sz w:val="20"/>
                <w:szCs w:val="24"/>
              </w:rPr>
              <w:t>江苏东海农村商业银行股份有限公司</w:t>
            </w:r>
          </w:p>
        </w:tc>
        <w:tc>
          <w:tcPr>
            <w:tcW w:w="4050" w:type="dxa"/>
            <w:tcMar>
              <w:left w:w="120" w:type="dxa"/>
            </w:tcMar>
            <w:vAlign w:val="center"/>
          </w:tcPr>
          <w:p w14:paraId="370387B1">
            <w:pPr>
              <w:spacing w:line="240" w:lineRule="auto"/>
              <w:rPr>
                <w:sz w:val="28"/>
                <w:szCs w:val="28"/>
              </w:rPr>
            </w:pPr>
            <w:r>
              <w:rPr>
                <w:rFonts w:ascii="方正黑体_GBK" w:hAnsi="方正黑体_GBK" w:eastAsia="方正黑体_GBK" w:cs="宋体"/>
                <w:sz w:val="20"/>
                <w:szCs w:val="24"/>
              </w:rPr>
              <w:t>连云港市东海县牛山镇海陵东路8号</w:t>
            </w:r>
          </w:p>
        </w:tc>
        <w:tc>
          <w:tcPr>
            <w:tcW w:w="1350" w:type="dxa"/>
            <w:tcMar>
              <w:left w:w="120" w:type="dxa"/>
            </w:tcMar>
            <w:vAlign w:val="center"/>
          </w:tcPr>
          <w:p w14:paraId="48D500D9">
            <w:pPr>
              <w:spacing w:line="240" w:lineRule="auto"/>
              <w:rPr>
                <w:sz w:val="28"/>
                <w:szCs w:val="28"/>
              </w:rPr>
            </w:pPr>
            <w:r>
              <w:rPr>
                <w:rFonts w:ascii="方正黑体_GBK" w:hAnsi="方正黑体_GBK" w:eastAsia="方正黑体_GBK" w:cs="宋体"/>
                <w:sz w:val="20"/>
                <w:szCs w:val="24"/>
              </w:rPr>
              <w:t>96008</w:t>
            </w:r>
          </w:p>
        </w:tc>
      </w:tr>
      <w:tr w14:paraId="3CE2BE70">
        <w:trPr>
          <w:trHeight w:val="300" w:hRule="atLeast"/>
        </w:trPr>
        <w:tc>
          <w:tcPr>
            <w:tcW w:w="2100" w:type="dxa"/>
            <w:tcMar>
              <w:left w:w="120" w:type="dxa"/>
            </w:tcMar>
            <w:vAlign w:val="center"/>
          </w:tcPr>
          <w:p w14:paraId="763E5975">
            <w:pPr>
              <w:spacing w:line="240" w:lineRule="auto"/>
              <w:rPr>
                <w:sz w:val="28"/>
                <w:szCs w:val="28"/>
              </w:rPr>
            </w:pPr>
            <w:r>
              <w:rPr>
                <w:rFonts w:ascii="方正黑体_GBK" w:hAnsi="方正黑体_GBK" w:eastAsia="方正黑体_GBK" w:cs="宋体"/>
                <w:sz w:val="20"/>
                <w:szCs w:val="24"/>
              </w:rPr>
              <w:t>江苏高邮农村商业银行股份有限公司</w:t>
            </w:r>
          </w:p>
        </w:tc>
        <w:tc>
          <w:tcPr>
            <w:tcW w:w="4050" w:type="dxa"/>
            <w:tcMar>
              <w:left w:w="120" w:type="dxa"/>
            </w:tcMar>
            <w:vAlign w:val="center"/>
          </w:tcPr>
          <w:p w14:paraId="6234F890">
            <w:pPr>
              <w:spacing w:line="240" w:lineRule="auto"/>
              <w:rPr>
                <w:sz w:val="28"/>
                <w:szCs w:val="28"/>
              </w:rPr>
            </w:pPr>
            <w:r>
              <w:rPr>
                <w:rFonts w:ascii="方正黑体_GBK" w:hAnsi="方正黑体_GBK" w:eastAsia="方正黑体_GBK" w:cs="宋体"/>
                <w:sz w:val="20"/>
                <w:szCs w:val="24"/>
              </w:rPr>
              <w:t>高邮市文游中路28号</w:t>
            </w:r>
          </w:p>
        </w:tc>
        <w:tc>
          <w:tcPr>
            <w:tcW w:w="1350" w:type="dxa"/>
            <w:tcMar>
              <w:left w:w="120" w:type="dxa"/>
            </w:tcMar>
            <w:vAlign w:val="center"/>
          </w:tcPr>
          <w:p w14:paraId="649888EF">
            <w:pPr>
              <w:spacing w:line="240" w:lineRule="auto"/>
              <w:rPr>
                <w:sz w:val="28"/>
                <w:szCs w:val="28"/>
              </w:rPr>
            </w:pPr>
            <w:r>
              <w:rPr>
                <w:rFonts w:ascii="方正黑体_GBK" w:hAnsi="方正黑体_GBK" w:eastAsia="方正黑体_GBK" w:cs="宋体"/>
                <w:sz w:val="20"/>
                <w:szCs w:val="24"/>
              </w:rPr>
              <w:t>96008</w:t>
            </w:r>
          </w:p>
        </w:tc>
      </w:tr>
      <w:tr w14:paraId="44B59EC9">
        <w:trPr>
          <w:trHeight w:val="300" w:hRule="atLeast"/>
        </w:trPr>
        <w:tc>
          <w:tcPr>
            <w:tcW w:w="2100" w:type="dxa"/>
            <w:tcMar>
              <w:left w:w="120" w:type="dxa"/>
            </w:tcMar>
            <w:vAlign w:val="center"/>
          </w:tcPr>
          <w:p w14:paraId="6F2CEECD">
            <w:pPr>
              <w:spacing w:line="240" w:lineRule="auto"/>
              <w:rPr>
                <w:sz w:val="28"/>
                <w:szCs w:val="28"/>
              </w:rPr>
            </w:pPr>
            <w:r>
              <w:rPr>
                <w:rFonts w:ascii="方正黑体_GBK" w:hAnsi="方正黑体_GBK" w:eastAsia="方正黑体_GBK" w:cs="宋体"/>
                <w:sz w:val="20"/>
                <w:szCs w:val="24"/>
              </w:rPr>
              <w:t>廊坊银行股份有限公司</w:t>
            </w:r>
          </w:p>
        </w:tc>
        <w:tc>
          <w:tcPr>
            <w:tcW w:w="4050" w:type="dxa"/>
            <w:tcMar>
              <w:left w:w="120" w:type="dxa"/>
            </w:tcMar>
            <w:vAlign w:val="center"/>
          </w:tcPr>
          <w:p w14:paraId="3B5F094C">
            <w:pPr>
              <w:spacing w:line="240" w:lineRule="auto"/>
              <w:rPr>
                <w:sz w:val="28"/>
                <w:szCs w:val="28"/>
              </w:rPr>
            </w:pPr>
            <w:r>
              <w:rPr>
                <w:rFonts w:ascii="方正黑体_GBK" w:hAnsi="方正黑体_GBK" w:eastAsia="方正黑体_GBK" w:cs="宋体"/>
                <w:sz w:val="20"/>
                <w:szCs w:val="24"/>
              </w:rPr>
              <w:t>河北省廊坊市广阳区广阳道 31 号</w:t>
            </w:r>
          </w:p>
        </w:tc>
        <w:tc>
          <w:tcPr>
            <w:tcW w:w="1350" w:type="dxa"/>
            <w:tcMar>
              <w:left w:w="120" w:type="dxa"/>
            </w:tcMar>
            <w:vAlign w:val="center"/>
          </w:tcPr>
          <w:p w14:paraId="5CB9ED7E">
            <w:pPr>
              <w:spacing w:line="240" w:lineRule="auto"/>
              <w:rPr>
                <w:sz w:val="28"/>
                <w:szCs w:val="28"/>
              </w:rPr>
            </w:pPr>
            <w:r>
              <w:rPr>
                <w:rFonts w:ascii="方正黑体_GBK" w:hAnsi="方正黑体_GBK" w:eastAsia="方正黑体_GBK" w:cs="宋体"/>
                <w:sz w:val="20"/>
                <w:szCs w:val="24"/>
              </w:rPr>
              <w:t>400-620-0099</w:t>
            </w:r>
          </w:p>
        </w:tc>
      </w:tr>
      <w:tr w14:paraId="36F788AC">
        <w:trPr>
          <w:trHeight w:val="300" w:hRule="atLeast"/>
        </w:trPr>
        <w:tc>
          <w:tcPr>
            <w:tcW w:w="2100" w:type="dxa"/>
            <w:tcMar>
              <w:left w:w="120" w:type="dxa"/>
            </w:tcMar>
            <w:vAlign w:val="center"/>
          </w:tcPr>
          <w:p w14:paraId="08E1A37C">
            <w:pPr>
              <w:spacing w:line="240" w:lineRule="auto"/>
              <w:rPr>
                <w:sz w:val="28"/>
                <w:szCs w:val="28"/>
              </w:rPr>
            </w:pPr>
            <w:r>
              <w:rPr>
                <w:rFonts w:ascii="方正黑体_GBK" w:hAnsi="方正黑体_GBK" w:eastAsia="方正黑体_GBK" w:cs="宋体"/>
                <w:sz w:val="20"/>
                <w:szCs w:val="24"/>
              </w:rPr>
              <w:t>徽商银行股份有限公司</w:t>
            </w:r>
          </w:p>
        </w:tc>
        <w:tc>
          <w:tcPr>
            <w:tcW w:w="4050" w:type="dxa"/>
            <w:tcMar>
              <w:left w:w="120" w:type="dxa"/>
            </w:tcMar>
            <w:vAlign w:val="center"/>
          </w:tcPr>
          <w:p w14:paraId="0267D7F3">
            <w:pPr>
              <w:spacing w:line="240" w:lineRule="auto"/>
              <w:rPr>
                <w:sz w:val="28"/>
                <w:szCs w:val="28"/>
              </w:rPr>
            </w:pPr>
            <w:r>
              <w:rPr>
                <w:rFonts w:ascii="方正黑体_GBK" w:hAnsi="方正黑体_GBK" w:eastAsia="方正黑体_GBK" w:cs="宋体"/>
                <w:sz w:val="20"/>
                <w:szCs w:val="24"/>
              </w:rPr>
              <w:t>安徽省合肥市云谷路1699号徽银大厦</w:t>
            </w:r>
          </w:p>
        </w:tc>
        <w:tc>
          <w:tcPr>
            <w:tcW w:w="1350" w:type="dxa"/>
            <w:tcMar>
              <w:left w:w="120" w:type="dxa"/>
            </w:tcMar>
            <w:vAlign w:val="center"/>
          </w:tcPr>
          <w:p w14:paraId="0CB0A08B">
            <w:pPr>
              <w:spacing w:line="240" w:lineRule="auto"/>
              <w:rPr>
                <w:sz w:val="28"/>
                <w:szCs w:val="28"/>
              </w:rPr>
            </w:pPr>
            <w:r>
              <w:rPr>
                <w:rFonts w:ascii="方正黑体_GBK" w:hAnsi="方正黑体_GBK" w:eastAsia="方正黑体_GBK" w:cs="宋体"/>
                <w:sz w:val="20"/>
                <w:szCs w:val="24"/>
              </w:rPr>
              <w:t>40088-96588</w:t>
            </w:r>
          </w:p>
        </w:tc>
      </w:tr>
      <w:tr w14:paraId="4327CC24">
        <w:trPr>
          <w:trHeight w:val="300" w:hRule="atLeast"/>
        </w:trPr>
        <w:tc>
          <w:tcPr>
            <w:tcW w:w="2100" w:type="dxa"/>
            <w:tcMar>
              <w:left w:w="120" w:type="dxa"/>
            </w:tcMar>
            <w:vAlign w:val="center"/>
          </w:tcPr>
          <w:p w14:paraId="5602D61B">
            <w:pPr>
              <w:spacing w:line="240" w:lineRule="auto"/>
              <w:rPr>
                <w:sz w:val="28"/>
                <w:szCs w:val="28"/>
              </w:rPr>
            </w:pPr>
            <w:r>
              <w:rPr>
                <w:rFonts w:ascii="方正黑体_GBK" w:hAnsi="方正黑体_GBK" w:eastAsia="方正黑体_GBK" w:cs="宋体"/>
                <w:sz w:val="20"/>
                <w:szCs w:val="24"/>
              </w:rPr>
              <w:t>郑州银行股份有限公司</w:t>
            </w:r>
          </w:p>
        </w:tc>
        <w:tc>
          <w:tcPr>
            <w:tcW w:w="4050" w:type="dxa"/>
            <w:tcMar>
              <w:left w:w="120" w:type="dxa"/>
            </w:tcMar>
            <w:vAlign w:val="center"/>
          </w:tcPr>
          <w:p w14:paraId="3FA9805B">
            <w:pPr>
              <w:spacing w:line="240" w:lineRule="auto"/>
              <w:rPr>
                <w:sz w:val="28"/>
                <w:szCs w:val="28"/>
              </w:rPr>
            </w:pPr>
            <w:r>
              <w:rPr>
                <w:rFonts w:ascii="方正黑体_GBK" w:hAnsi="方正黑体_GBK" w:eastAsia="方正黑体_GBK" w:cs="宋体"/>
                <w:sz w:val="20"/>
                <w:szCs w:val="24"/>
              </w:rPr>
              <w:t>郑州市郑东新区商务外环路22号</w:t>
            </w:r>
          </w:p>
        </w:tc>
        <w:tc>
          <w:tcPr>
            <w:tcW w:w="1350" w:type="dxa"/>
            <w:tcMar>
              <w:left w:w="120" w:type="dxa"/>
            </w:tcMar>
            <w:vAlign w:val="center"/>
          </w:tcPr>
          <w:p w14:paraId="15813780">
            <w:pPr>
              <w:spacing w:line="240" w:lineRule="auto"/>
              <w:rPr>
                <w:sz w:val="28"/>
                <w:szCs w:val="28"/>
              </w:rPr>
            </w:pPr>
            <w:r>
              <w:rPr>
                <w:rFonts w:ascii="方正黑体_GBK" w:hAnsi="方正黑体_GBK" w:eastAsia="方正黑体_GBK" w:cs="宋体"/>
                <w:sz w:val="20"/>
                <w:szCs w:val="24"/>
              </w:rPr>
              <w:t>95097</w:t>
            </w:r>
          </w:p>
        </w:tc>
      </w:tr>
      <w:tr w14:paraId="596FDDC3">
        <w:trPr>
          <w:trHeight w:val="300" w:hRule="atLeast"/>
        </w:trPr>
        <w:tc>
          <w:tcPr>
            <w:tcW w:w="2100" w:type="dxa"/>
            <w:tcMar>
              <w:left w:w="120" w:type="dxa"/>
            </w:tcMar>
            <w:vAlign w:val="center"/>
          </w:tcPr>
          <w:p w14:paraId="4292A687">
            <w:pPr>
              <w:spacing w:line="240" w:lineRule="auto"/>
              <w:rPr>
                <w:sz w:val="28"/>
                <w:szCs w:val="28"/>
              </w:rPr>
            </w:pPr>
            <w:r>
              <w:rPr>
                <w:rFonts w:ascii="方正黑体_GBK" w:hAnsi="方正黑体_GBK" w:eastAsia="方正黑体_GBK" w:cs="宋体"/>
                <w:sz w:val="20"/>
                <w:szCs w:val="24"/>
              </w:rPr>
              <w:t>江苏姜堰农村商业银行股份有限公司</w:t>
            </w:r>
          </w:p>
        </w:tc>
        <w:tc>
          <w:tcPr>
            <w:tcW w:w="4050" w:type="dxa"/>
            <w:tcMar>
              <w:left w:w="120" w:type="dxa"/>
            </w:tcMar>
            <w:vAlign w:val="center"/>
          </w:tcPr>
          <w:p w14:paraId="480CE386">
            <w:pPr>
              <w:spacing w:line="240" w:lineRule="auto"/>
              <w:rPr>
                <w:sz w:val="28"/>
                <w:szCs w:val="28"/>
              </w:rPr>
            </w:pPr>
            <w:r>
              <w:rPr>
                <w:rFonts w:ascii="方正黑体_GBK" w:hAnsi="方正黑体_GBK" w:eastAsia="方正黑体_GBK" w:cs="宋体"/>
                <w:sz w:val="20"/>
                <w:szCs w:val="24"/>
              </w:rPr>
              <w:t>泰州市姜堰区姜堰大道128号</w:t>
            </w:r>
          </w:p>
        </w:tc>
        <w:tc>
          <w:tcPr>
            <w:tcW w:w="1350" w:type="dxa"/>
            <w:tcMar>
              <w:left w:w="120" w:type="dxa"/>
            </w:tcMar>
            <w:vAlign w:val="center"/>
          </w:tcPr>
          <w:p w14:paraId="0683C97E">
            <w:pPr>
              <w:spacing w:line="240" w:lineRule="auto"/>
              <w:rPr>
                <w:sz w:val="28"/>
                <w:szCs w:val="28"/>
              </w:rPr>
            </w:pPr>
            <w:r>
              <w:rPr>
                <w:rFonts w:ascii="方正黑体_GBK" w:hAnsi="方正黑体_GBK" w:eastAsia="方正黑体_GBK" w:cs="宋体"/>
                <w:sz w:val="20"/>
                <w:szCs w:val="24"/>
              </w:rPr>
              <w:t>96008</w:t>
            </w:r>
          </w:p>
        </w:tc>
      </w:tr>
      <w:tr w14:paraId="55B303A2">
        <w:trPr>
          <w:trHeight w:val="300" w:hRule="atLeast"/>
        </w:trPr>
        <w:tc>
          <w:tcPr>
            <w:tcW w:w="2100" w:type="dxa"/>
            <w:tcMar>
              <w:left w:w="120" w:type="dxa"/>
            </w:tcMar>
            <w:vAlign w:val="center"/>
          </w:tcPr>
          <w:p w14:paraId="379E615F">
            <w:pPr>
              <w:spacing w:line="240" w:lineRule="auto"/>
              <w:rPr>
                <w:sz w:val="28"/>
                <w:szCs w:val="28"/>
              </w:rPr>
            </w:pPr>
            <w:r>
              <w:rPr>
                <w:rFonts w:ascii="方正黑体_GBK" w:hAnsi="方正黑体_GBK" w:eastAsia="方正黑体_GBK" w:cs="宋体"/>
                <w:sz w:val="20"/>
                <w:szCs w:val="24"/>
              </w:rPr>
              <w:t>山西银行股份有限公司</w:t>
            </w:r>
          </w:p>
        </w:tc>
        <w:tc>
          <w:tcPr>
            <w:tcW w:w="4050" w:type="dxa"/>
            <w:tcMar>
              <w:left w:w="120" w:type="dxa"/>
            </w:tcMar>
            <w:vAlign w:val="center"/>
          </w:tcPr>
          <w:p w14:paraId="0489771D">
            <w:pPr>
              <w:spacing w:line="240" w:lineRule="auto"/>
              <w:rPr>
                <w:sz w:val="28"/>
                <w:szCs w:val="28"/>
              </w:rPr>
            </w:pPr>
            <w:r>
              <w:rPr>
                <w:rFonts w:ascii="方正黑体_GBK" w:hAnsi="方正黑体_GBK" w:eastAsia="方正黑体_GBK" w:cs="宋体"/>
                <w:sz w:val="20"/>
                <w:szCs w:val="24"/>
              </w:rPr>
              <w:t>山西转型综合改革示范区学府产业园高新街15号</w:t>
            </w:r>
          </w:p>
        </w:tc>
        <w:tc>
          <w:tcPr>
            <w:tcW w:w="1350" w:type="dxa"/>
            <w:tcMar>
              <w:left w:w="120" w:type="dxa"/>
            </w:tcMar>
            <w:vAlign w:val="center"/>
          </w:tcPr>
          <w:p w14:paraId="7C4384D1">
            <w:pPr>
              <w:spacing w:line="240" w:lineRule="auto"/>
              <w:rPr>
                <w:sz w:val="28"/>
                <w:szCs w:val="28"/>
              </w:rPr>
            </w:pPr>
            <w:r>
              <w:rPr>
                <w:rFonts w:ascii="方正黑体_GBK" w:hAnsi="方正黑体_GBK" w:eastAsia="方正黑体_GBK" w:cs="宋体"/>
                <w:sz w:val="20"/>
                <w:szCs w:val="24"/>
              </w:rPr>
              <w:t>0351-96588</w:t>
            </w:r>
          </w:p>
        </w:tc>
      </w:tr>
      <w:tr w14:paraId="2574531B">
        <w:trPr>
          <w:trHeight w:val="300" w:hRule="atLeast"/>
        </w:trPr>
        <w:tc>
          <w:tcPr>
            <w:tcW w:w="2100" w:type="dxa"/>
            <w:tcMar>
              <w:left w:w="120" w:type="dxa"/>
            </w:tcMar>
            <w:vAlign w:val="center"/>
          </w:tcPr>
          <w:p w14:paraId="04D8EF53">
            <w:pPr>
              <w:spacing w:line="240" w:lineRule="auto"/>
              <w:rPr>
                <w:sz w:val="28"/>
                <w:szCs w:val="28"/>
              </w:rPr>
            </w:pPr>
            <w:r>
              <w:rPr>
                <w:rFonts w:ascii="方正黑体_GBK" w:hAnsi="方正黑体_GBK" w:eastAsia="方正黑体_GBK" w:cs="宋体"/>
                <w:sz w:val="20"/>
                <w:szCs w:val="24"/>
              </w:rPr>
              <w:t>江苏如东农村商业银行股份有限公司</w:t>
            </w:r>
          </w:p>
        </w:tc>
        <w:tc>
          <w:tcPr>
            <w:tcW w:w="4050" w:type="dxa"/>
            <w:tcMar>
              <w:left w:w="120" w:type="dxa"/>
            </w:tcMar>
            <w:vAlign w:val="center"/>
          </w:tcPr>
          <w:p w14:paraId="6692BB72">
            <w:pPr>
              <w:spacing w:line="240" w:lineRule="auto"/>
              <w:rPr>
                <w:sz w:val="28"/>
                <w:szCs w:val="28"/>
              </w:rPr>
            </w:pPr>
            <w:r>
              <w:rPr>
                <w:rFonts w:ascii="方正黑体_GBK" w:hAnsi="方正黑体_GBK" w:eastAsia="方正黑体_GBK" w:cs="宋体"/>
                <w:sz w:val="20"/>
                <w:szCs w:val="24"/>
              </w:rPr>
              <w:t>江苏省如东县掘港镇钟山路66号</w:t>
            </w:r>
          </w:p>
        </w:tc>
        <w:tc>
          <w:tcPr>
            <w:tcW w:w="1350" w:type="dxa"/>
            <w:tcMar>
              <w:left w:w="120" w:type="dxa"/>
            </w:tcMar>
            <w:vAlign w:val="center"/>
          </w:tcPr>
          <w:p w14:paraId="5BC88D7B">
            <w:pPr>
              <w:spacing w:line="240" w:lineRule="auto"/>
              <w:rPr>
                <w:sz w:val="28"/>
                <w:szCs w:val="28"/>
              </w:rPr>
            </w:pPr>
            <w:r>
              <w:rPr>
                <w:rFonts w:ascii="方正黑体_GBK" w:hAnsi="方正黑体_GBK" w:eastAsia="方正黑体_GBK" w:cs="宋体"/>
                <w:sz w:val="20"/>
                <w:szCs w:val="24"/>
              </w:rPr>
              <w:t>96008</w:t>
            </w:r>
          </w:p>
        </w:tc>
      </w:tr>
      <w:tr w14:paraId="19B08D4C">
        <w:trPr>
          <w:trHeight w:val="300" w:hRule="atLeast"/>
        </w:trPr>
        <w:tc>
          <w:tcPr>
            <w:tcW w:w="2100" w:type="dxa"/>
            <w:tcMar>
              <w:left w:w="120" w:type="dxa"/>
            </w:tcMar>
            <w:vAlign w:val="center"/>
          </w:tcPr>
          <w:p w14:paraId="4A922DBE">
            <w:pPr>
              <w:spacing w:line="240" w:lineRule="auto"/>
              <w:rPr>
                <w:sz w:val="28"/>
                <w:szCs w:val="28"/>
              </w:rPr>
            </w:pPr>
            <w:r>
              <w:rPr>
                <w:rFonts w:ascii="方正黑体_GBK" w:hAnsi="方正黑体_GBK" w:eastAsia="方正黑体_GBK" w:cs="宋体"/>
                <w:sz w:val="20"/>
                <w:szCs w:val="24"/>
              </w:rPr>
              <w:t>北京银行股份有限公司</w:t>
            </w:r>
          </w:p>
        </w:tc>
        <w:tc>
          <w:tcPr>
            <w:tcW w:w="4050" w:type="dxa"/>
            <w:tcMar>
              <w:left w:w="120" w:type="dxa"/>
            </w:tcMar>
            <w:vAlign w:val="center"/>
          </w:tcPr>
          <w:p w14:paraId="1534EA6F">
            <w:pPr>
              <w:spacing w:line="240" w:lineRule="auto"/>
              <w:rPr>
                <w:sz w:val="28"/>
                <w:szCs w:val="28"/>
              </w:rPr>
            </w:pPr>
            <w:r>
              <w:rPr>
                <w:rFonts w:ascii="方正黑体_GBK" w:hAnsi="方正黑体_GBK" w:eastAsia="方正黑体_GBK" w:cs="宋体"/>
                <w:sz w:val="20"/>
                <w:szCs w:val="24"/>
              </w:rPr>
              <w:t>北京市西城区金融大街甲17号首层</w:t>
            </w:r>
          </w:p>
        </w:tc>
        <w:tc>
          <w:tcPr>
            <w:tcW w:w="1350" w:type="dxa"/>
            <w:tcMar>
              <w:left w:w="120" w:type="dxa"/>
            </w:tcMar>
            <w:vAlign w:val="center"/>
          </w:tcPr>
          <w:p w14:paraId="26A1BAA9">
            <w:pPr>
              <w:spacing w:line="240" w:lineRule="auto"/>
              <w:rPr>
                <w:sz w:val="28"/>
                <w:szCs w:val="28"/>
              </w:rPr>
            </w:pPr>
            <w:r>
              <w:rPr>
                <w:rFonts w:ascii="方正黑体_GBK" w:hAnsi="方正黑体_GBK" w:eastAsia="方正黑体_GBK" w:cs="宋体"/>
                <w:sz w:val="20"/>
                <w:szCs w:val="24"/>
              </w:rPr>
              <w:t>010-66426500</w:t>
            </w:r>
          </w:p>
        </w:tc>
      </w:tr>
      <w:tr w14:paraId="01252323">
        <w:trPr>
          <w:trHeight w:val="300" w:hRule="atLeast"/>
        </w:trPr>
        <w:tc>
          <w:tcPr>
            <w:tcW w:w="2100" w:type="dxa"/>
            <w:tcMar>
              <w:left w:w="120" w:type="dxa"/>
            </w:tcMar>
            <w:vAlign w:val="center"/>
          </w:tcPr>
          <w:p w14:paraId="15BA4AB8">
            <w:pPr>
              <w:spacing w:line="240" w:lineRule="auto"/>
              <w:rPr>
                <w:sz w:val="28"/>
                <w:szCs w:val="28"/>
              </w:rPr>
            </w:pPr>
            <w:r>
              <w:rPr>
                <w:rFonts w:ascii="方正黑体_GBK" w:hAnsi="方正黑体_GBK" w:eastAsia="方正黑体_GBK" w:cs="宋体"/>
                <w:sz w:val="20"/>
                <w:szCs w:val="24"/>
              </w:rPr>
              <w:t>江苏赣榆农村商业银行股份有限公司</w:t>
            </w:r>
          </w:p>
        </w:tc>
        <w:tc>
          <w:tcPr>
            <w:tcW w:w="4050" w:type="dxa"/>
            <w:tcMar>
              <w:left w:w="120" w:type="dxa"/>
            </w:tcMar>
            <w:vAlign w:val="center"/>
          </w:tcPr>
          <w:p w14:paraId="060A07D8">
            <w:pPr>
              <w:spacing w:line="240" w:lineRule="auto"/>
              <w:rPr>
                <w:sz w:val="28"/>
                <w:szCs w:val="28"/>
              </w:rPr>
            </w:pPr>
            <w:r>
              <w:rPr>
                <w:rFonts w:ascii="方正黑体_GBK" w:hAnsi="方正黑体_GBK" w:eastAsia="方正黑体_GBK" w:cs="宋体"/>
                <w:sz w:val="20"/>
                <w:szCs w:val="24"/>
              </w:rPr>
              <w:t>连云港市赣榆区黄海东路304号</w:t>
            </w:r>
          </w:p>
        </w:tc>
        <w:tc>
          <w:tcPr>
            <w:tcW w:w="1350" w:type="dxa"/>
            <w:tcMar>
              <w:left w:w="120" w:type="dxa"/>
            </w:tcMar>
            <w:vAlign w:val="center"/>
          </w:tcPr>
          <w:p w14:paraId="6224AA11">
            <w:pPr>
              <w:spacing w:line="240" w:lineRule="auto"/>
              <w:rPr>
                <w:sz w:val="28"/>
                <w:szCs w:val="28"/>
              </w:rPr>
            </w:pPr>
            <w:r>
              <w:rPr>
                <w:rFonts w:ascii="方正黑体_GBK" w:hAnsi="方正黑体_GBK" w:eastAsia="方正黑体_GBK" w:cs="宋体"/>
                <w:sz w:val="20"/>
                <w:szCs w:val="24"/>
              </w:rPr>
              <w:t>96008</w:t>
            </w:r>
          </w:p>
        </w:tc>
      </w:tr>
      <w:tr w14:paraId="2E367D78">
        <w:trPr>
          <w:trHeight w:val="300" w:hRule="atLeast"/>
        </w:trPr>
        <w:tc>
          <w:tcPr>
            <w:tcW w:w="2100" w:type="dxa"/>
            <w:tcMar>
              <w:left w:w="120" w:type="dxa"/>
            </w:tcMar>
            <w:vAlign w:val="center"/>
          </w:tcPr>
          <w:p w14:paraId="09D95049">
            <w:pPr>
              <w:spacing w:line="240" w:lineRule="auto"/>
              <w:rPr>
                <w:sz w:val="28"/>
                <w:szCs w:val="28"/>
              </w:rPr>
            </w:pPr>
            <w:r>
              <w:rPr>
                <w:rFonts w:ascii="方正黑体_GBK" w:hAnsi="方正黑体_GBK" w:eastAsia="方正黑体_GBK" w:cs="宋体"/>
                <w:sz w:val="20"/>
                <w:szCs w:val="24"/>
              </w:rPr>
              <w:t>江苏盱眙农村商业银行股份有限公司</w:t>
            </w:r>
          </w:p>
        </w:tc>
        <w:tc>
          <w:tcPr>
            <w:tcW w:w="4050" w:type="dxa"/>
            <w:tcMar>
              <w:left w:w="120" w:type="dxa"/>
            </w:tcMar>
            <w:vAlign w:val="center"/>
          </w:tcPr>
          <w:p w14:paraId="32499309">
            <w:pPr>
              <w:spacing w:line="240" w:lineRule="auto"/>
              <w:rPr>
                <w:sz w:val="28"/>
                <w:szCs w:val="28"/>
              </w:rPr>
            </w:pPr>
            <w:r>
              <w:rPr>
                <w:rFonts w:ascii="方正黑体_GBK" w:hAnsi="方正黑体_GBK" w:eastAsia="方正黑体_GBK" w:cs="宋体"/>
                <w:sz w:val="20"/>
                <w:szCs w:val="24"/>
              </w:rPr>
              <w:t>江苏省盱眙县合欢大道2号</w:t>
            </w:r>
          </w:p>
        </w:tc>
        <w:tc>
          <w:tcPr>
            <w:tcW w:w="1350" w:type="dxa"/>
            <w:tcMar>
              <w:left w:w="120" w:type="dxa"/>
            </w:tcMar>
            <w:vAlign w:val="center"/>
          </w:tcPr>
          <w:p w14:paraId="33656AD1">
            <w:pPr>
              <w:spacing w:line="240" w:lineRule="auto"/>
              <w:rPr>
                <w:sz w:val="28"/>
                <w:szCs w:val="28"/>
              </w:rPr>
            </w:pPr>
            <w:r>
              <w:rPr>
                <w:rFonts w:ascii="方正黑体_GBK" w:hAnsi="方正黑体_GBK" w:eastAsia="方正黑体_GBK" w:cs="宋体"/>
                <w:sz w:val="20"/>
                <w:szCs w:val="24"/>
              </w:rPr>
              <w:t>96008</w:t>
            </w:r>
          </w:p>
        </w:tc>
      </w:tr>
      <w:tr w14:paraId="083B9D34">
        <w:trPr>
          <w:trHeight w:val="300" w:hRule="atLeast"/>
        </w:trPr>
        <w:tc>
          <w:tcPr>
            <w:tcW w:w="2100" w:type="dxa"/>
            <w:tcMar>
              <w:left w:w="120" w:type="dxa"/>
            </w:tcMar>
            <w:vAlign w:val="center"/>
          </w:tcPr>
          <w:p w14:paraId="60FFDBE2">
            <w:pPr>
              <w:spacing w:line="240" w:lineRule="auto"/>
              <w:rPr>
                <w:sz w:val="28"/>
                <w:szCs w:val="28"/>
              </w:rPr>
            </w:pPr>
            <w:r>
              <w:rPr>
                <w:rFonts w:ascii="方正黑体_GBK" w:hAnsi="方正黑体_GBK" w:eastAsia="方正黑体_GBK" w:cs="宋体"/>
                <w:sz w:val="20"/>
                <w:szCs w:val="24"/>
              </w:rPr>
              <w:t>东营银行股份有限公司</w:t>
            </w:r>
          </w:p>
        </w:tc>
        <w:tc>
          <w:tcPr>
            <w:tcW w:w="4050" w:type="dxa"/>
            <w:tcMar>
              <w:left w:w="120" w:type="dxa"/>
            </w:tcMar>
            <w:vAlign w:val="center"/>
          </w:tcPr>
          <w:p w14:paraId="52C1C0F0">
            <w:pPr>
              <w:spacing w:line="240" w:lineRule="auto"/>
              <w:rPr>
                <w:sz w:val="28"/>
                <w:szCs w:val="28"/>
              </w:rPr>
            </w:pPr>
            <w:r>
              <w:rPr>
                <w:rFonts w:ascii="方正黑体_GBK" w:hAnsi="方正黑体_GBK" w:eastAsia="方正黑体_GBK" w:cs="宋体"/>
                <w:sz w:val="20"/>
                <w:szCs w:val="24"/>
              </w:rPr>
              <w:t>山东省东营市东营区府前大街87-1号</w:t>
            </w:r>
          </w:p>
        </w:tc>
        <w:tc>
          <w:tcPr>
            <w:tcW w:w="1350" w:type="dxa"/>
            <w:tcMar>
              <w:left w:w="120" w:type="dxa"/>
            </w:tcMar>
            <w:vAlign w:val="center"/>
          </w:tcPr>
          <w:p w14:paraId="23CE05E1">
            <w:pPr>
              <w:spacing w:line="240" w:lineRule="auto"/>
              <w:rPr>
                <w:sz w:val="28"/>
                <w:szCs w:val="28"/>
              </w:rPr>
            </w:pPr>
            <w:r>
              <w:rPr>
                <w:rFonts w:ascii="方正黑体_GBK" w:hAnsi="方正黑体_GBK" w:eastAsia="方正黑体_GBK" w:cs="宋体"/>
                <w:sz w:val="20"/>
                <w:szCs w:val="24"/>
              </w:rPr>
              <w:t>0546-96588/400-6296588</w:t>
            </w:r>
          </w:p>
        </w:tc>
      </w:tr>
      <w:tr w14:paraId="26847A1D">
        <w:trPr>
          <w:trHeight w:val="300" w:hRule="atLeast"/>
        </w:trPr>
        <w:tc>
          <w:tcPr>
            <w:tcW w:w="2100" w:type="dxa"/>
            <w:tcMar>
              <w:left w:w="120" w:type="dxa"/>
            </w:tcMar>
            <w:vAlign w:val="center"/>
          </w:tcPr>
          <w:p w14:paraId="6EC2AC66">
            <w:pPr>
              <w:spacing w:line="240" w:lineRule="auto"/>
              <w:rPr>
                <w:sz w:val="28"/>
                <w:szCs w:val="28"/>
              </w:rPr>
            </w:pPr>
            <w:r>
              <w:rPr>
                <w:rFonts w:ascii="方正黑体_GBK" w:hAnsi="方正黑体_GBK" w:eastAsia="方正黑体_GBK" w:cs="宋体"/>
                <w:sz w:val="20"/>
                <w:szCs w:val="24"/>
              </w:rPr>
              <w:t>江苏沛县农村商业银行股份有限公司</w:t>
            </w:r>
          </w:p>
        </w:tc>
        <w:tc>
          <w:tcPr>
            <w:tcW w:w="4050" w:type="dxa"/>
            <w:tcMar>
              <w:left w:w="120" w:type="dxa"/>
            </w:tcMar>
            <w:vAlign w:val="center"/>
          </w:tcPr>
          <w:p w14:paraId="6299C0B3">
            <w:pPr>
              <w:spacing w:line="240" w:lineRule="auto"/>
              <w:rPr>
                <w:sz w:val="28"/>
                <w:szCs w:val="28"/>
              </w:rPr>
            </w:pPr>
            <w:r>
              <w:rPr>
                <w:rFonts w:ascii="方正黑体_GBK" w:hAnsi="方正黑体_GBK" w:eastAsia="方正黑体_GBK" w:cs="宋体"/>
                <w:sz w:val="20"/>
                <w:szCs w:val="24"/>
              </w:rPr>
              <w:t>江苏省沛县汤沐路中段11号</w:t>
            </w:r>
          </w:p>
        </w:tc>
        <w:tc>
          <w:tcPr>
            <w:tcW w:w="1350" w:type="dxa"/>
            <w:tcMar>
              <w:left w:w="120" w:type="dxa"/>
            </w:tcMar>
            <w:vAlign w:val="center"/>
          </w:tcPr>
          <w:p w14:paraId="469C74B7">
            <w:pPr>
              <w:spacing w:line="240" w:lineRule="auto"/>
              <w:rPr>
                <w:sz w:val="28"/>
                <w:szCs w:val="28"/>
              </w:rPr>
            </w:pPr>
            <w:r>
              <w:rPr>
                <w:rFonts w:ascii="方正黑体_GBK" w:hAnsi="方正黑体_GBK" w:eastAsia="方正黑体_GBK" w:cs="宋体"/>
                <w:sz w:val="20"/>
                <w:szCs w:val="24"/>
              </w:rPr>
              <w:t>96008</w:t>
            </w:r>
          </w:p>
        </w:tc>
      </w:tr>
      <w:tr w14:paraId="45E9552B">
        <w:trPr>
          <w:trHeight w:val="300" w:hRule="atLeast"/>
        </w:trPr>
        <w:tc>
          <w:tcPr>
            <w:tcW w:w="2100" w:type="dxa"/>
            <w:tcMar>
              <w:left w:w="120" w:type="dxa"/>
            </w:tcMar>
            <w:vAlign w:val="center"/>
          </w:tcPr>
          <w:p w14:paraId="016F27D6">
            <w:pPr>
              <w:spacing w:line="240" w:lineRule="auto"/>
              <w:rPr>
                <w:sz w:val="28"/>
                <w:szCs w:val="28"/>
              </w:rPr>
            </w:pPr>
            <w:r>
              <w:rPr>
                <w:rFonts w:ascii="方正黑体_GBK" w:hAnsi="方正黑体_GBK" w:eastAsia="方正黑体_GBK" w:cs="宋体"/>
                <w:sz w:val="20"/>
                <w:szCs w:val="24"/>
              </w:rPr>
              <w:t>潍坊银行股份有限公司</w:t>
            </w:r>
          </w:p>
        </w:tc>
        <w:tc>
          <w:tcPr>
            <w:tcW w:w="4050" w:type="dxa"/>
            <w:tcMar>
              <w:left w:w="120" w:type="dxa"/>
            </w:tcMar>
            <w:vAlign w:val="center"/>
          </w:tcPr>
          <w:p w14:paraId="3044BC2C">
            <w:pPr>
              <w:spacing w:line="240" w:lineRule="auto"/>
              <w:rPr>
                <w:sz w:val="28"/>
                <w:szCs w:val="28"/>
              </w:rPr>
            </w:pPr>
            <w:r>
              <w:rPr>
                <w:rFonts w:ascii="方正黑体_GBK" w:hAnsi="方正黑体_GBK" w:eastAsia="方正黑体_GBK" w:cs="宋体"/>
                <w:sz w:val="20"/>
                <w:szCs w:val="24"/>
              </w:rPr>
              <w:t>潍坊市奎文区胜利东街5139号</w:t>
            </w:r>
          </w:p>
        </w:tc>
        <w:tc>
          <w:tcPr>
            <w:tcW w:w="1350" w:type="dxa"/>
            <w:tcMar>
              <w:left w:w="120" w:type="dxa"/>
            </w:tcMar>
            <w:vAlign w:val="center"/>
          </w:tcPr>
          <w:p w14:paraId="4E4DBE00">
            <w:pPr>
              <w:spacing w:line="240" w:lineRule="auto"/>
              <w:rPr>
                <w:sz w:val="28"/>
                <w:szCs w:val="28"/>
              </w:rPr>
            </w:pPr>
            <w:r>
              <w:rPr>
                <w:rFonts w:ascii="方正黑体_GBK" w:hAnsi="方正黑体_GBK" w:eastAsia="方正黑体_GBK" w:cs="宋体"/>
                <w:sz w:val="20"/>
                <w:szCs w:val="24"/>
              </w:rPr>
              <w:t>0536-8106161</w:t>
            </w:r>
          </w:p>
        </w:tc>
      </w:tr>
      <w:tr w14:paraId="49C91968">
        <w:trPr>
          <w:trHeight w:val="300" w:hRule="atLeast"/>
        </w:trPr>
        <w:tc>
          <w:tcPr>
            <w:tcW w:w="2100" w:type="dxa"/>
            <w:tcMar>
              <w:left w:w="120" w:type="dxa"/>
            </w:tcMar>
            <w:vAlign w:val="center"/>
          </w:tcPr>
          <w:p w14:paraId="0A021A76">
            <w:pPr>
              <w:spacing w:line="240" w:lineRule="auto"/>
              <w:rPr>
                <w:sz w:val="28"/>
                <w:szCs w:val="28"/>
              </w:rPr>
            </w:pPr>
            <w:r>
              <w:rPr>
                <w:rFonts w:ascii="方正黑体_GBK" w:hAnsi="方正黑体_GBK" w:eastAsia="方正黑体_GBK" w:cs="宋体"/>
                <w:sz w:val="20"/>
                <w:szCs w:val="24"/>
              </w:rPr>
              <w:t>江苏仪征农村商业银行股份有限公司</w:t>
            </w:r>
          </w:p>
        </w:tc>
        <w:tc>
          <w:tcPr>
            <w:tcW w:w="4050" w:type="dxa"/>
            <w:tcMar>
              <w:left w:w="120" w:type="dxa"/>
            </w:tcMar>
            <w:vAlign w:val="center"/>
          </w:tcPr>
          <w:p w14:paraId="50709E61">
            <w:pPr>
              <w:spacing w:line="240" w:lineRule="auto"/>
              <w:rPr>
                <w:sz w:val="28"/>
                <w:szCs w:val="28"/>
              </w:rPr>
            </w:pPr>
            <w:r>
              <w:rPr>
                <w:rFonts w:ascii="方正黑体_GBK" w:hAnsi="方正黑体_GBK" w:eastAsia="方正黑体_GBK" w:cs="宋体"/>
                <w:sz w:val="20"/>
                <w:szCs w:val="24"/>
              </w:rPr>
              <w:t>江苏省仪征市真州镇解放东路818号金融集聚区1座801-811，901-911，1001-1011，2座101</w:t>
            </w:r>
          </w:p>
        </w:tc>
        <w:tc>
          <w:tcPr>
            <w:tcW w:w="1350" w:type="dxa"/>
            <w:tcMar>
              <w:left w:w="120" w:type="dxa"/>
            </w:tcMar>
            <w:vAlign w:val="center"/>
          </w:tcPr>
          <w:p w14:paraId="56EB10FD">
            <w:pPr>
              <w:spacing w:line="240" w:lineRule="auto"/>
              <w:rPr>
                <w:sz w:val="28"/>
                <w:szCs w:val="28"/>
              </w:rPr>
            </w:pPr>
            <w:r>
              <w:rPr>
                <w:rFonts w:ascii="方正黑体_GBK" w:hAnsi="方正黑体_GBK" w:eastAsia="方正黑体_GBK" w:cs="宋体"/>
                <w:sz w:val="20"/>
                <w:szCs w:val="24"/>
              </w:rPr>
              <w:t>96008</w:t>
            </w:r>
          </w:p>
        </w:tc>
      </w:tr>
      <w:tr w14:paraId="36FBBDD8">
        <w:trPr>
          <w:trHeight w:val="300" w:hRule="atLeast"/>
        </w:trPr>
        <w:tc>
          <w:tcPr>
            <w:tcW w:w="2100" w:type="dxa"/>
            <w:tcMar>
              <w:left w:w="120" w:type="dxa"/>
            </w:tcMar>
            <w:vAlign w:val="center"/>
          </w:tcPr>
          <w:p w14:paraId="656E2054">
            <w:pPr>
              <w:spacing w:line="240" w:lineRule="auto"/>
              <w:rPr>
                <w:sz w:val="28"/>
                <w:szCs w:val="28"/>
              </w:rPr>
            </w:pPr>
            <w:r>
              <w:rPr>
                <w:rFonts w:ascii="方正黑体_GBK" w:hAnsi="方正黑体_GBK" w:eastAsia="方正黑体_GBK" w:cs="宋体"/>
                <w:sz w:val="20"/>
                <w:szCs w:val="24"/>
              </w:rPr>
              <w:t>金华银行股份有限公司</w:t>
            </w:r>
          </w:p>
        </w:tc>
        <w:tc>
          <w:tcPr>
            <w:tcW w:w="4050" w:type="dxa"/>
            <w:tcMar>
              <w:left w:w="120" w:type="dxa"/>
            </w:tcMar>
            <w:vAlign w:val="center"/>
          </w:tcPr>
          <w:p w14:paraId="3AD9306F">
            <w:pPr>
              <w:spacing w:line="240" w:lineRule="auto"/>
              <w:rPr>
                <w:sz w:val="28"/>
                <w:szCs w:val="28"/>
              </w:rPr>
            </w:pPr>
            <w:r>
              <w:rPr>
                <w:rFonts w:ascii="方正黑体_GBK" w:hAnsi="方正黑体_GBK" w:eastAsia="方正黑体_GBK" w:cs="宋体"/>
                <w:sz w:val="20"/>
                <w:szCs w:val="24"/>
              </w:rPr>
              <w:t>浙江省金华市丹溪路1388号</w:t>
            </w:r>
          </w:p>
        </w:tc>
        <w:tc>
          <w:tcPr>
            <w:tcW w:w="1350" w:type="dxa"/>
            <w:tcMar>
              <w:left w:w="120" w:type="dxa"/>
            </w:tcMar>
            <w:vAlign w:val="center"/>
          </w:tcPr>
          <w:p w14:paraId="2B587EE6">
            <w:pPr>
              <w:spacing w:line="240" w:lineRule="auto"/>
              <w:rPr>
                <w:sz w:val="28"/>
                <w:szCs w:val="28"/>
              </w:rPr>
            </w:pPr>
            <w:r>
              <w:rPr>
                <w:rFonts w:ascii="方正黑体_GBK" w:hAnsi="方正黑体_GBK" w:eastAsia="方正黑体_GBK" w:cs="宋体"/>
                <w:sz w:val="20"/>
                <w:szCs w:val="24"/>
              </w:rPr>
              <w:t>0579-96528</w:t>
            </w:r>
          </w:p>
        </w:tc>
      </w:tr>
      <w:tr w14:paraId="30C1F637">
        <w:trPr>
          <w:trHeight w:val="300" w:hRule="atLeast"/>
        </w:trPr>
        <w:tc>
          <w:tcPr>
            <w:tcW w:w="2100" w:type="dxa"/>
            <w:tcMar>
              <w:left w:w="120" w:type="dxa"/>
            </w:tcMar>
            <w:vAlign w:val="center"/>
          </w:tcPr>
          <w:p w14:paraId="54E7FCA2">
            <w:pPr>
              <w:spacing w:line="240" w:lineRule="auto"/>
              <w:rPr>
                <w:sz w:val="28"/>
                <w:szCs w:val="28"/>
              </w:rPr>
            </w:pPr>
            <w:r>
              <w:rPr>
                <w:rFonts w:ascii="方正黑体_GBK" w:hAnsi="方正黑体_GBK" w:eastAsia="方正黑体_GBK" w:cs="宋体"/>
                <w:sz w:val="20"/>
                <w:szCs w:val="24"/>
              </w:rPr>
              <w:t>成都银行股份有限公司</w:t>
            </w:r>
          </w:p>
        </w:tc>
        <w:tc>
          <w:tcPr>
            <w:tcW w:w="4050" w:type="dxa"/>
            <w:tcMar>
              <w:left w:w="120" w:type="dxa"/>
            </w:tcMar>
            <w:vAlign w:val="center"/>
          </w:tcPr>
          <w:p w14:paraId="23414348">
            <w:pPr>
              <w:spacing w:line="240" w:lineRule="auto"/>
              <w:rPr>
                <w:sz w:val="28"/>
                <w:szCs w:val="28"/>
              </w:rPr>
            </w:pPr>
            <w:r>
              <w:rPr>
                <w:rFonts w:ascii="方正黑体_GBK" w:hAnsi="方正黑体_GBK" w:eastAsia="方正黑体_GBK" w:cs="宋体"/>
                <w:sz w:val="20"/>
                <w:szCs w:val="24"/>
              </w:rPr>
              <w:t>四川省成都市青羊区西御街 16 号</w:t>
            </w:r>
          </w:p>
        </w:tc>
        <w:tc>
          <w:tcPr>
            <w:tcW w:w="1350" w:type="dxa"/>
            <w:tcMar>
              <w:left w:w="120" w:type="dxa"/>
            </w:tcMar>
            <w:vAlign w:val="center"/>
          </w:tcPr>
          <w:p w14:paraId="77E4B91B">
            <w:pPr>
              <w:spacing w:line="240" w:lineRule="auto"/>
              <w:rPr>
                <w:sz w:val="28"/>
                <w:szCs w:val="28"/>
              </w:rPr>
            </w:pPr>
            <w:r>
              <w:rPr>
                <w:rFonts w:ascii="方正黑体_GBK" w:hAnsi="方正黑体_GBK" w:eastAsia="方正黑体_GBK" w:cs="宋体"/>
                <w:sz w:val="20"/>
                <w:szCs w:val="24"/>
              </w:rPr>
              <w:t>95507</w:t>
            </w:r>
          </w:p>
        </w:tc>
      </w:tr>
      <w:tr w14:paraId="4A10E02D">
        <w:trPr>
          <w:trHeight w:val="300" w:hRule="atLeast"/>
        </w:trPr>
        <w:tc>
          <w:tcPr>
            <w:tcW w:w="2100" w:type="dxa"/>
            <w:tcMar>
              <w:left w:w="120" w:type="dxa"/>
            </w:tcMar>
            <w:vAlign w:val="center"/>
          </w:tcPr>
          <w:p w14:paraId="11675701">
            <w:pPr>
              <w:spacing w:line="240" w:lineRule="auto"/>
              <w:rPr>
                <w:sz w:val="28"/>
                <w:szCs w:val="28"/>
              </w:rPr>
            </w:pPr>
            <w:r>
              <w:rPr>
                <w:rFonts w:ascii="方正黑体_GBK" w:hAnsi="方正黑体_GBK" w:eastAsia="方正黑体_GBK" w:cs="宋体"/>
                <w:sz w:val="20"/>
                <w:szCs w:val="24"/>
              </w:rPr>
              <w:t>湖北银行股份有限公司</w:t>
            </w:r>
          </w:p>
        </w:tc>
        <w:tc>
          <w:tcPr>
            <w:tcW w:w="4050" w:type="dxa"/>
            <w:tcMar>
              <w:left w:w="120" w:type="dxa"/>
            </w:tcMar>
            <w:vAlign w:val="center"/>
          </w:tcPr>
          <w:p w14:paraId="4FCD7004">
            <w:pPr>
              <w:spacing w:line="240" w:lineRule="auto"/>
              <w:rPr>
                <w:sz w:val="28"/>
                <w:szCs w:val="28"/>
              </w:rPr>
            </w:pPr>
            <w:r>
              <w:rPr>
                <w:rFonts w:ascii="方正黑体_GBK" w:hAnsi="方正黑体_GBK" w:eastAsia="方正黑体_GBK" w:cs="宋体"/>
                <w:sz w:val="20"/>
                <w:szCs w:val="24"/>
              </w:rPr>
              <w:t>武汉市武昌区水果湖街中北路86号汉街总部国际8栋</w:t>
            </w:r>
          </w:p>
        </w:tc>
        <w:tc>
          <w:tcPr>
            <w:tcW w:w="1350" w:type="dxa"/>
            <w:tcMar>
              <w:left w:w="120" w:type="dxa"/>
            </w:tcMar>
            <w:vAlign w:val="center"/>
          </w:tcPr>
          <w:p w14:paraId="402D224C">
            <w:pPr>
              <w:spacing w:line="240" w:lineRule="auto"/>
              <w:rPr>
                <w:sz w:val="28"/>
                <w:szCs w:val="28"/>
              </w:rPr>
            </w:pPr>
            <w:r>
              <w:rPr>
                <w:rFonts w:ascii="方正黑体_GBK" w:hAnsi="方正黑体_GBK" w:eastAsia="方正黑体_GBK" w:cs="宋体"/>
                <w:sz w:val="20"/>
                <w:szCs w:val="24"/>
              </w:rPr>
              <w:t>400-85-96599</w:t>
            </w:r>
          </w:p>
        </w:tc>
      </w:tr>
      <w:tr w14:paraId="6003C41E">
        <w:trPr>
          <w:trHeight w:val="300" w:hRule="atLeast"/>
        </w:trPr>
        <w:tc>
          <w:tcPr>
            <w:tcW w:w="2100" w:type="dxa"/>
            <w:tcMar>
              <w:left w:w="120" w:type="dxa"/>
            </w:tcMar>
            <w:vAlign w:val="center"/>
          </w:tcPr>
          <w:p w14:paraId="210D9D2D">
            <w:pPr>
              <w:spacing w:line="240" w:lineRule="auto"/>
              <w:rPr>
                <w:sz w:val="28"/>
                <w:szCs w:val="28"/>
              </w:rPr>
            </w:pPr>
            <w:r>
              <w:rPr>
                <w:rFonts w:ascii="方正黑体_GBK" w:hAnsi="方正黑体_GBK" w:eastAsia="方正黑体_GBK" w:cs="宋体"/>
                <w:sz w:val="20"/>
                <w:szCs w:val="24"/>
              </w:rPr>
              <w:t>吉林银行股份有限公司</w:t>
            </w:r>
          </w:p>
        </w:tc>
        <w:tc>
          <w:tcPr>
            <w:tcW w:w="4050" w:type="dxa"/>
            <w:tcMar>
              <w:left w:w="120" w:type="dxa"/>
            </w:tcMar>
            <w:vAlign w:val="center"/>
          </w:tcPr>
          <w:p w14:paraId="61755BE7">
            <w:pPr>
              <w:spacing w:line="240" w:lineRule="auto"/>
              <w:rPr>
                <w:sz w:val="28"/>
                <w:szCs w:val="28"/>
              </w:rPr>
            </w:pPr>
            <w:r>
              <w:rPr>
                <w:rFonts w:ascii="方正黑体_GBK" w:hAnsi="方正黑体_GBK" w:eastAsia="方正黑体_GBK" w:cs="宋体"/>
                <w:sz w:val="20"/>
                <w:szCs w:val="24"/>
              </w:rPr>
              <w:t>吉林省长春市南关区人民大街10666号</w:t>
            </w:r>
          </w:p>
        </w:tc>
        <w:tc>
          <w:tcPr>
            <w:tcW w:w="1350" w:type="dxa"/>
            <w:tcMar>
              <w:left w:w="120" w:type="dxa"/>
            </w:tcMar>
            <w:vAlign w:val="center"/>
          </w:tcPr>
          <w:p w14:paraId="02B56756">
            <w:pPr>
              <w:spacing w:line="240" w:lineRule="auto"/>
              <w:rPr>
                <w:sz w:val="28"/>
                <w:szCs w:val="28"/>
              </w:rPr>
            </w:pPr>
            <w:r>
              <w:rPr>
                <w:rFonts w:ascii="方正黑体_GBK" w:hAnsi="方正黑体_GBK" w:eastAsia="方正黑体_GBK" w:cs="宋体"/>
                <w:sz w:val="20"/>
                <w:szCs w:val="24"/>
              </w:rPr>
              <w:t>0431-84999543</w:t>
            </w:r>
          </w:p>
        </w:tc>
      </w:tr>
      <w:tr w14:paraId="51A24EDB">
        <w:trPr>
          <w:trHeight w:val="300" w:hRule="atLeast"/>
        </w:trPr>
        <w:tc>
          <w:tcPr>
            <w:tcW w:w="2100" w:type="dxa"/>
            <w:tcMar>
              <w:left w:w="120" w:type="dxa"/>
            </w:tcMar>
            <w:vAlign w:val="center"/>
          </w:tcPr>
          <w:p w14:paraId="6A8F0EF2">
            <w:pPr>
              <w:spacing w:line="240" w:lineRule="auto"/>
              <w:rPr>
                <w:sz w:val="28"/>
                <w:szCs w:val="28"/>
              </w:rPr>
            </w:pPr>
            <w:r>
              <w:rPr>
                <w:rFonts w:ascii="方正黑体_GBK" w:hAnsi="方正黑体_GBK" w:eastAsia="方正黑体_GBK" w:cs="宋体"/>
                <w:sz w:val="20"/>
                <w:szCs w:val="24"/>
              </w:rPr>
              <w:t>连云港东方农村商业银行股份有限公司</w:t>
            </w:r>
          </w:p>
        </w:tc>
        <w:tc>
          <w:tcPr>
            <w:tcW w:w="4050" w:type="dxa"/>
            <w:tcMar>
              <w:left w:w="120" w:type="dxa"/>
            </w:tcMar>
            <w:vAlign w:val="center"/>
          </w:tcPr>
          <w:p w14:paraId="36C87285">
            <w:pPr>
              <w:spacing w:line="240" w:lineRule="auto"/>
              <w:rPr>
                <w:sz w:val="28"/>
                <w:szCs w:val="28"/>
              </w:rPr>
            </w:pPr>
            <w:r>
              <w:rPr>
                <w:rFonts w:ascii="方正黑体_GBK" w:hAnsi="方正黑体_GBK" w:eastAsia="方正黑体_GBK" w:cs="宋体"/>
                <w:sz w:val="20"/>
                <w:szCs w:val="24"/>
              </w:rPr>
              <w:t>江苏省连云港市海州区郁洲南路10号</w:t>
            </w:r>
          </w:p>
        </w:tc>
        <w:tc>
          <w:tcPr>
            <w:tcW w:w="1350" w:type="dxa"/>
            <w:tcMar>
              <w:left w:w="120" w:type="dxa"/>
            </w:tcMar>
            <w:vAlign w:val="center"/>
          </w:tcPr>
          <w:p w14:paraId="5145077B">
            <w:pPr>
              <w:spacing w:line="240" w:lineRule="auto"/>
              <w:rPr>
                <w:sz w:val="28"/>
                <w:szCs w:val="28"/>
              </w:rPr>
            </w:pPr>
            <w:r>
              <w:rPr>
                <w:rFonts w:ascii="方正黑体_GBK" w:hAnsi="方正黑体_GBK" w:eastAsia="方正黑体_GBK" w:cs="宋体"/>
                <w:sz w:val="20"/>
                <w:szCs w:val="24"/>
              </w:rPr>
              <w:t>96008</w:t>
            </w:r>
          </w:p>
        </w:tc>
      </w:tr>
      <w:tr w14:paraId="2675F33A">
        <w:trPr>
          <w:trHeight w:val="300" w:hRule="atLeast"/>
        </w:trPr>
        <w:tc>
          <w:tcPr>
            <w:tcW w:w="2100" w:type="dxa"/>
            <w:tcMar>
              <w:left w:w="120" w:type="dxa"/>
            </w:tcMar>
            <w:vAlign w:val="center"/>
          </w:tcPr>
          <w:p w14:paraId="0BB89500">
            <w:pPr>
              <w:spacing w:line="240" w:lineRule="auto"/>
              <w:rPr>
                <w:sz w:val="28"/>
                <w:szCs w:val="28"/>
              </w:rPr>
            </w:pPr>
            <w:r>
              <w:rPr>
                <w:rFonts w:ascii="方正黑体_GBK" w:hAnsi="方正黑体_GBK" w:eastAsia="方正黑体_GBK" w:cs="宋体"/>
                <w:sz w:val="20"/>
                <w:szCs w:val="24"/>
              </w:rPr>
              <w:t>德州银行股份有限公司</w:t>
            </w:r>
          </w:p>
        </w:tc>
        <w:tc>
          <w:tcPr>
            <w:tcW w:w="4050" w:type="dxa"/>
            <w:tcMar>
              <w:left w:w="120" w:type="dxa"/>
            </w:tcMar>
            <w:vAlign w:val="center"/>
          </w:tcPr>
          <w:p w14:paraId="0AC6CB2E">
            <w:pPr>
              <w:spacing w:line="240" w:lineRule="auto"/>
              <w:rPr>
                <w:sz w:val="28"/>
                <w:szCs w:val="28"/>
              </w:rPr>
            </w:pPr>
            <w:r>
              <w:rPr>
                <w:rFonts w:ascii="方正黑体_GBK" w:hAnsi="方正黑体_GBK" w:eastAsia="方正黑体_GBK" w:cs="宋体"/>
                <w:sz w:val="20"/>
                <w:szCs w:val="24"/>
              </w:rPr>
              <w:t>山东省德州市三八东路1266号</w:t>
            </w:r>
          </w:p>
        </w:tc>
        <w:tc>
          <w:tcPr>
            <w:tcW w:w="1350" w:type="dxa"/>
            <w:tcMar>
              <w:left w:w="120" w:type="dxa"/>
            </w:tcMar>
            <w:vAlign w:val="center"/>
          </w:tcPr>
          <w:p w14:paraId="78CBBA85">
            <w:pPr>
              <w:spacing w:line="240" w:lineRule="auto"/>
              <w:rPr>
                <w:sz w:val="28"/>
                <w:szCs w:val="28"/>
              </w:rPr>
            </w:pPr>
            <w:r>
              <w:rPr>
                <w:rFonts w:ascii="方正黑体_GBK" w:hAnsi="方正黑体_GBK" w:eastAsia="方正黑体_GBK" w:cs="宋体"/>
                <w:sz w:val="20"/>
                <w:szCs w:val="24"/>
              </w:rPr>
              <w:t>0534-2291695</w:t>
            </w:r>
          </w:p>
        </w:tc>
      </w:tr>
      <w:tr w14:paraId="3FB17BF6">
        <w:trPr>
          <w:trHeight w:val="300" w:hRule="atLeast"/>
        </w:trPr>
        <w:tc>
          <w:tcPr>
            <w:tcW w:w="2100" w:type="dxa"/>
            <w:tcMar>
              <w:left w:w="120" w:type="dxa"/>
            </w:tcMar>
            <w:vAlign w:val="center"/>
          </w:tcPr>
          <w:p w14:paraId="460FFB92">
            <w:pPr>
              <w:spacing w:line="240" w:lineRule="auto"/>
              <w:rPr>
                <w:sz w:val="28"/>
                <w:szCs w:val="28"/>
              </w:rPr>
            </w:pPr>
            <w:r>
              <w:rPr>
                <w:rFonts w:ascii="方正黑体_GBK" w:hAnsi="方正黑体_GBK" w:eastAsia="方正黑体_GBK" w:cs="宋体"/>
                <w:sz w:val="20"/>
                <w:szCs w:val="24"/>
              </w:rPr>
              <w:t>北京农村商业银行股份有限公司</w:t>
            </w:r>
          </w:p>
        </w:tc>
        <w:tc>
          <w:tcPr>
            <w:tcW w:w="4050" w:type="dxa"/>
            <w:tcMar>
              <w:left w:w="120" w:type="dxa"/>
            </w:tcMar>
            <w:vAlign w:val="center"/>
          </w:tcPr>
          <w:p w14:paraId="012C8A61">
            <w:pPr>
              <w:spacing w:line="240" w:lineRule="auto"/>
              <w:rPr>
                <w:sz w:val="28"/>
                <w:szCs w:val="28"/>
              </w:rPr>
            </w:pPr>
            <w:r>
              <w:rPr>
                <w:rFonts w:ascii="方正黑体_GBK" w:hAnsi="方正黑体_GBK" w:eastAsia="方正黑体_GBK" w:cs="宋体"/>
                <w:sz w:val="20"/>
                <w:szCs w:val="24"/>
              </w:rPr>
              <w:t>北京市西城区月坛南街1号院2号楼</w:t>
            </w:r>
          </w:p>
        </w:tc>
        <w:tc>
          <w:tcPr>
            <w:tcW w:w="1350" w:type="dxa"/>
            <w:tcMar>
              <w:left w:w="120" w:type="dxa"/>
            </w:tcMar>
            <w:vAlign w:val="center"/>
          </w:tcPr>
          <w:p w14:paraId="572A70F0">
            <w:pPr>
              <w:spacing w:line="240" w:lineRule="auto"/>
              <w:rPr>
                <w:sz w:val="28"/>
                <w:szCs w:val="28"/>
              </w:rPr>
            </w:pPr>
            <w:r>
              <w:rPr>
                <w:rFonts w:ascii="方正黑体_GBK" w:hAnsi="方正黑体_GBK" w:eastAsia="方正黑体_GBK" w:cs="宋体"/>
                <w:sz w:val="20"/>
                <w:szCs w:val="24"/>
              </w:rPr>
              <w:t>010-96198、4008896198</w:t>
            </w:r>
          </w:p>
        </w:tc>
      </w:tr>
      <w:tr w14:paraId="76925E54">
        <w:trPr>
          <w:trHeight w:val="300" w:hRule="atLeast"/>
        </w:trPr>
        <w:tc>
          <w:tcPr>
            <w:tcW w:w="2100" w:type="dxa"/>
            <w:tcMar>
              <w:left w:w="120" w:type="dxa"/>
            </w:tcMar>
            <w:vAlign w:val="center"/>
          </w:tcPr>
          <w:p w14:paraId="5A3EF4A2">
            <w:pPr>
              <w:spacing w:line="240" w:lineRule="auto"/>
              <w:rPr>
                <w:sz w:val="28"/>
                <w:szCs w:val="28"/>
              </w:rPr>
            </w:pPr>
            <w:r>
              <w:rPr>
                <w:rFonts w:ascii="方正黑体_GBK" w:hAnsi="方正黑体_GBK" w:eastAsia="方正黑体_GBK" w:cs="宋体"/>
                <w:sz w:val="20"/>
                <w:szCs w:val="24"/>
              </w:rPr>
              <w:t>上海农村商业银行股份有限公司</w:t>
            </w:r>
          </w:p>
        </w:tc>
        <w:tc>
          <w:tcPr>
            <w:tcW w:w="4050" w:type="dxa"/>
            <w:tcMar>
              <w:left w:w="120" w:type="dxa"/>
            </w:tcMar>
            <w:vAlign w:val="center"/>
          </w:tcPr>
          <w:p w14:paraId="2AD88031">
            <w:pPr>
              <w:spacing w:line="240" w:lineRule="auto"/>
              <w:rPr>
                <w:sz w:val="28"/>
                <w:szCs w:val="28"/>
              </w:rPr>
            </w:pPr>
            <w:r>
              <w:rPr>
                <w:rFonts w:ascii="方正黑体_GBK" w:hAnsi="方正黑体_GBK" w:eastAsia="方正黑体_GBK" w:cs="宋体"/>
                <w:sz w:val="20"/>
                <w:szCs w:val="24"/>
              </w:rPr>
              <w:t>上海市黄浦区中山东二路70号</w:t>
            </w:r>
          </w:p>
        </w:tc>
        <w:tc>
          <w:tcPr>
            <w:tcW w:w="1350" w:type="dxa"/>
            <w:tcMar>
              <w:left w:w="120" w:type="dxa"/>
            </w:tcMar>
            <w:vAlign w:val="center"/>
          </w:tcPr>
          <w:p w14:paraId="59FFE89B">
            <w:pPr>
              <w:spacing w:line="240" w:lineRule="auto"/>
              <w:rPr>
                <w:sz w:val="28"/>
                <w:szCs w:val="28"/>
              </w:rPr>
            </w:pPr>
            <w:r>
              <w:rPr>
                <w:rFonts w:ascii="方正黑体_GBK" w:hAnsi="方正黑体_GBK" w:eastAsia="方正黑体_GBK" w:cs="宋体"/>
                <w:sz w:val="20"/>
                <w:szCs w:val="24"/>
              </w:rPr>
              <w:t>021-962999</w:t>
            </w:r>
          </w:p>
        </w:tc>
      </w:tr>
      <w:tr w14:paraId="54A7E2AF">
        <w:trPr>
          <w:trHeight w:val="300" w:hRule="atLeast"/>
        </w:trPr>
        <w:tc>
          <w:tcPr>
            <w:tcW w:w="2100" w:type="dxa"/>
            <w:tcMar>
              <w:left w:w="120" w:type="dxa"/>
            </w:tcMar>
            <w:vAlign w:val="center"/>
          </w:tcPr>
          <w:p w14:paraId="5A372222">
            <w:pPr>
              <w:spacing w:line="240" w:lineRule="auto"/>
              <w:rPr>
                <w:sz w:val="28"/>
                <w:szCs w:val="28"/>
              </w:rPr>
            </w:pPr>
            <w:r>
              <w:rPr>
                <w:rFonts w:ascii="方正黑体_GBK" w:hAnsi="方正黑体_GBK" w:eastAsia="方正黑体_GBK" w:cs="宋体"/>
                <w:sz w:val="20"/>
                <w:szCs w:val="24"/>
              </w:rPr>
              <w:t>江苏沭阳农村商业银行股份有限公司</w:t>
            </w:r>
          </w:p>
        </w:tc>
        <w:tc>
          <w:tcPr>
            <w:tcW w:w="4050" w:type="dxa"/>
            <w:tcMar>
              <w:left w:w="120" w:type="dxa"/>
            </w:tcMar>
            <w:vAlign w:val="center"/>
          </w:tcPr>
          <w:p w14:paraId="20110F65">
            <w:pPr>
              <w:spacing w:line="240" w:lineRule="auto"/>
              <w:rPr>
                <w:sz w:val="28"/>
                <w:szCs w:val="28"/>
              </w:rPr>
            </w:pPr>
            <w:r>
              <w:rPr>
                <w:rFonts w:ascii="方正黑体_GBK" w:hAnsi="方正黑体_GBK" w:eastAsia="方正黑体_GBK" w:cs="宋体"/>
                <w:sz w:val="20"/>
                <w:szCs w:val="24"/>
              </w:rPr>
              <w:t>沭阳县沭城镇苏州东路与台州南路交汇处</w:t>
            </w:r>
          </w:p>
        </w:tc>
        <w:tc>
          <w:tcPr>
            <w:tcW w:w="1350" w:type="dxa"/>
            <w:tcMar>
              <w:left w:w="120" w:type="dxa"/>
            </w:tcMar>
            <w:vAlign w:val="center"/>
          </w:tcPr>
          <w:p w14:paraId="6B02DC37">
            <w:pPr>
              <w:spacing w:line="240" w:lineRule="auto"/>
              <w:rPr>
                <w:sz w:val="28"/>
                <w:szCs w:val="28"/>
              </w:rPr>
            </w:pPr>
            <w:r>
              <w:rPr>
                <w:rFonts w:ascii="方正黑体_GBK" w:hAnsi="方正黑体_GBK" w:eastAsia="方正黑体_GBK" w:cs="宋体"/>
                <w:sz w:val="20"/>
                <w:szCs w:val="24"/>
              </w:rPr>
              <w:t>96008</w:t>
            </w:r>
          </w:p>
        </w:tc>
      </w:tr>
      <w:tr w14:paraId="3B9CCCE0">
        <w:trPr>
          <w:trHeight w:val="300" w:hRule="atLeast"/>
        </w:trPr>
        <w:tc>
          <w:tcPr>
            <w:tcW w:w="2100" w:type="dxa"/>
            <w:tcMar>
              <w:left w:w="120" w:type="dxa"/>
            </w:tcMar>
            <w:vAlign w:val="center"/>
          </w:tcPr>
          <w:p w14:paraId="1F923B81">
            <w:pPr>
              <w:spacing w:line="240" w:lineRule="auto"/>
              <w:rPr>
                <w:sz w:val="28"/>
                <w:szCs w:val="28"/>
              </w:rPr>
            </w:pPr>
            <w:r>
              <w:rPr>
                <w:rFonts w:ascii="方正黑体_GBK" w:hAnsi="方正黑体_GBK" w:eastAsia="方正黑体_GBK" w:cs="宋体"/>
                <w:sz w:val="20"/>
                <w:szCs w:val="24"/>
              </w:rPr>
              <w:t>海南农村商业银行股份有限公司</w:t>
            </w:r>
          </w:p>
        </w:tc>
        <w:tc>
          <w:tcPr>
            <w:tcW w:w="4050" w:type="dxa"/>
            <w:tcMar>
              <w:left w:w="120" w:type="dxa"/>
            </w:tcMar>
            <w:vAlign w:val="center"/>
          </w:tcPr>
          <w:p w14:paraId="16F8CEEC">
            <w:pPr>
              <w:spacing w:line="240" w:lineRule="auto"/>
              <w:rPr>
                <w:sz w:val="28"/>
                <w:szCs w:val="28"/>
              </w:rPr>
            </w:pPr>
            <w:r>
              <w:rPr>
                <w:rFonts w:ascii="方正黑体_GBK" w:hAnsi="方正黑体_GBK" w:eastAsia="方正黑体_GBK" w:cs="宋体"/>
                <w:sz w:val="20"/>
                <w:szCs w:val="24"/>
              </w:rPr>
              <w:t>海南省海口市美兰区国兴大道5号海南大厦</w:t>
            </w:r>
          </w:p>
        </w:tc>
        <w:tc>
          <w:tcPr>
            <w:tcW w:w="1350" w:type="dxa"/>
            <w:tcMar>
              <w:left w:w="120" w:type="dxa"/>
            </w:tcMar>
            <w:vAlign w:val="center"/>
          </w:tcPr>
          <w:p w14:paraId="24660153">
            <w:pPr>
              <w:spacing w:line="240" w:lineRule="auto"/>
              <w:rPr>
                <w:sz w:val="28"/>
                <w:szCs w:val="28"/>
              </w:rPr>
            </w:pPr>
            <w:r>
              <w:rPr>
                <w:rFonts w:ascii="方正黑体_GBK" w:hAnsi="方正黑体_GBK" w:eastAsia="方正黑体_GBK" w:cs="宋体"/>
                <w:sz w:val="20"/>
                <w:szCs w:val="24"/>
              </w:rPr>
              <w:t>65200533</w:t>
            </w:r>
          </w:p>
        </w:tc>
      </w:tr>
      <w:tr w14:paraId="6A2A9B58">
        <w:trPr>
          <w:trHeight w:val="300" w:hRule="atLeast"/>
        </w:trPr>
        <w:tc>
          <w:tcPr>
            <w:tcW w:w="2100" w:type="dxa"/>
            <w:tcMar>
              <w:left w:w="120" w:type="dxa"/>
            </w:tcMar>
            <w:vAlign w:val="center"/>
          </w:tcPr>
          <w:p w14:paraId="2D8D159D">
            <w:pPr>
              <w:spacing w:line="240" w:lineRule="auto"/>
              <w:rPr>
                <w:sz w:val="28"/>
                <w:szCs w:val="28"/>
              </w:rPr>
            </w:pPr>
            <w:r>
              <w:rPr>
                <w:rFonts w:ascii="方正黑体_GBK" w:hAnsi="方正黑体_GBK" w:eastAsia="方正黑体_GBK" w:cs="宋体"/>
                <w:sz w:val="20"/>
                <w:szCs w:val="24"/>
              </w:rPr>
              <w:t>湖州银行股份有限公司</w:t>
            </w:r>
          </w:p>
        </w:tc>
        <w:tc>
          <w:tcPr>
            <w:tcW w:w="4050" w:type="dxa"/>
            <w:tcMar>
              <w:left w:w="120" w:type="dxa"/>
            </w:tcMar>
            <w:vAlign w:val="center"/>
          </w:tcPr>
          <w:p w14:paraId="3EA73CC7">
            <w:pPr>
              <w:spacing w:line="240" w:lineRule="auto"/>
              <w:rPr>
                <w:sz w:val="28"/>
                <w:szCs w:val="28"/>
              </w:rPr>
            </w:pPr>
            <w:r>
              <w:rPr>
                <w:rFonts w:ascii="方正黑体_GBK" w:hAnsi="方正黑体_GBK" w:eastAsia="方正黑体_GBK" w:cs="宋体"/>
                <w:sz w:val="20"/>
                <w:szCs w:val="24"/>
              </w:rPr>
              <w:t>浙江省湖州市红旗路268号</w:t>
            </w:r>
          </w:p>
        </w:tc>
        <w:tc>
          <w:tcPr>
            <w:tcW w:w="1350" w:type="dxa"/>
            <w:tcMar>
              <w:left w:w="120" w:type="dxa"/>
            </w:tcMar>
            <w:vAlign w:val="center"/>
          </w:tcPr>
          <w:p w14:paraId="6FAE70C1">
            <w:pPr>
              <w:spacing w:line="240" w:lineRule="auto"/>
              <w:rPr>
                <w:sz w:val="28"/>
                <w:szCs w:val="28"/>
              </w:rPr>
            </w:pPr>
            <w:r>
              <w:rPr>
                <w:rFonts w:ascii="方正黑体_GBK" w:hAnsi="方正黑体_GBK" w:eastAsia="方正黑体_GBK" w:cs="宋体"/>
                <w:sz w:val="20"/>
                <w:szCs w:val="24"/>
              </w:rPr>
              <w:t>40080-96528</w:t>
            </w:r>
          </w:p>
        </w:tc>
      </w:tr>
      <w:tr w14:paraId="2586A2A4">
        <w:trPr>
          <w:trHeight w:val="300" w:hRule="atLeast"/>
        </w:trPr>
        <w:tc>
          <w:tcPr>
            <w:tcW w:w="2100" w:type="dxa"/>
            <w:tcMar>
              <w:left w:w="120" w:type="dxa"/>
            </w:tcMar>
            <w:vAlign w:val="center"/>
          </w:tcPr>
          <w:p w14:paraId="19CDCBAC">
            <w:pPr>
              <w:spacing w:line="240" w:lineRule="auto"/>
              <w:rPr>
                <w:sz w:val="28"/>
                <w:szCs w:val="28"/>
              </w:rPr>
            </w:pPr>
            <w:r>
              <w:rPr>
                <w:rFonts w:ascii="方正黑体_GBK" w:hAnsi="方正黑体_GBK" w:eastAsia="方正黑体_GBK" w:cs="宋体"/>
                <w:sz w:val="20"/>
                <w:szCs w:val="24"/>
              </w:rPr>
              <w:t>江苏灌云农村商业银行股份有限公司</w:t>
            </w:r>
          </w:p>
        </w:tc>
        <w:tc>
          <w:tcPr>
            <w:tcW w:w="4050" w:type="dxa"/>
            <w:tcMar>
              <w:left w:w="120" w:type="dxa"/>
            </w:tcMar>
            <w:vAlign w:val="center"/>
          </w:tcPr>
          <w:p w14:paraId="25E7633F">
            <w:pPr>
              <w:spacing w:line="240" w:lineRule="auto"/>
              <w:rPr>
                <w:sz w:val="28"/>
                <w:szCs w:val="28"/>
              </w:rPr>
            </w:pPr>
            <w:r>
              <w:rPr>
                <w:rFonts w:ascii="方正黑体_GBK" w:hAnsi="方正黑体_GBK" w:eastAsia="方正黑体_GBK" w:cs="宋体"/>
                <w:sz w:val="20"/>
                <w:szCs w:val="24"/>
              </w:rPr>
              <w:t>江苏省灌云县伊山镇水利路东侧（人民路与水利路交汇处）</w:t>
            </w:r>
          </w:p>
        </w:tc>
        <w:tc>
          <w:tcPr>
            <w:tcW w:w="1350" w:type="dxa"/>
            <w:tcMar>
              <w:left w:w="120" w:type="dxa"/>
            </w:tcMar>
            <w:vAlign w:val="center"/>
          </w:tcPr>
          <w:p w14:paraId="60260A19">
            <w:pPr>
              <w:spacing w:line="240" w:lineRule="auto"/>
              <w:rPr>
                <w:sz w:val="28"/>
                <w:szCs w:val="28"/>
              </w:rPr>
            </w:pPr>
            <w:r>
              <w:rPr>
                <w:rFonts w:ascii="方正黑体_GBK" w:hAnsi="方正黑体_GBK" w:eastAsia="方正黑体_GBK" w:cs="宋体"/>
                <w:sz w:val="20"/>
                <w:szCs w:val="24"/>
              </w:rPr>
              <w:t>96008</w:t>
            </w:r>
          </w:p>
        </w:tc>
      </w:tr>
      <w:tr w14:paraId="19036FDD">
        <w:trPr>
          <w:trHeight w:val="300" w:hRule="atLeast"/>
        </w:trPr>
        <w:tc>
          <w:tcPr>
            <w:tcW w:w="2100" w:type="dxa"/>
            <w:tcMar>
              <w:left w:w="120" w:type="dxa"/>
            </w:tcMar>
            <w:vAlign w:val="center"/>
          </w:tcPr>
          <w:p w14:paraId="1E8E6989">
            <w:pPr>
              <w:spacing w:line="240" w:lineRule="auto"/>
              <w:rPr>
                <w:sz w:val="28"/>
                <w:szCs w:val="28"/>
              </w:rPr>
            </w:pPr>
            <w:r>
              <w:rPr>
                <w:rFonts w:ascii="方正黑体_GBK" w:hAnsi="方正黑体_GBK" w:eastAsia="方正黑体_GBK" w:cs="宋体"/>
                <w:sz w:val="20"/>
                <w:szCs w:val="24"/>
              </w:rPr>
              <w:t>广州农村商业银行股份有限公司</w:t>
            </w:r>
          </w:p>
        </w:tc>
        <w:tc>
          <w:tcPr>
            <w:tcW w:w="4050" w:type="dxa"/>
            <w:tcMar>
              <w:left w:w="120" w:type="dxa"/>
            </w:tcMar>
            <w:vAlign w:val="center"/>
          </w:tcPr>
          <w:p w14:paraId="04B88E0A">
            <w:pPr>
              <w:spacing w:line="240" w:lineRule="auto"/>
              <w:rPr>
                <w:sz w:val="28"/>
                <w:szCs w:val="28"/>
              </w:rPr>
            </w:pPr>
            <w:r>
              <w:rPr>
                <w:rFonts w:ascii="方正黑体_GBK" w:hAnsi="方正黑体_GBK" w:eastAsia="方正黑体_GBK" w:cs="宋体"/>
                <w:sz w:val="20"/>
                <w:szCs w:val="24"/>
              </w:rPr>
              <w:t>广州市黄埔区映日路9号</w:t>
            </w:r>
          </w:p>
        </w:tc>
        <w:tc>
          <w:tcPr>
            <w:tcW w:w="1350" w:type="dxa"/>
            <w:tcMar>
              <w:left w:w="120" w:type="dxa"/>
            </w:tcMar>
            <w:vAlign w:val="center"/>
          </w:tcPr>
          <w:p w14:paraId="7AD60832">
            <w:pPr>
              <w:spacing w:line="240" w:lineRule="auto"/>
              <w:rPr>
                <w:sz w:val="28"/>
                <w:szCs w:val="28"/>
              </w:rPr>
            </w:pPr>
            <w:r>
              <w:rPr>
                <w:rFonts w:ascii="方正黑体_GBK" w:hAnsi="方正黑体_GBK" w:eastAsia="方正黑体_GBK" w:cs="宋体"/>
                <w:sz w:val="20"/>
                <w:szCs w:val="24"/>
              </w:rPr>
              <w:t>95313</w:t>
            </w:r>
          </w:p>
        </w:tc>
      </w:tr>
      <w:tr w14:paraId="478311A2">
        <w:trPr>
          <w:trHeight w:val="300" w:hRule="atLeast"/>
        </w:trPr>
        <w:tc>
          <w:tcPr>
            <w:tcW w:w="2100" w:type="dxa"/>
            <w:tcMar>
              <w:left w:w="120" w:type="dxa"/>
            </w:tcMar>
            <w:vAlign w:val="center"/>
          </w:tcPr>
          <w:p w14:paraId="263E96A1">
            <w:pPr>
              <w:spacing w:line="240" w:lineRule="auto"/>
              <w:rPr>
                <w:sz w:val="28"/>
                <w:szCs w:val="28"/>
              </w:rPr>
            </w:pPr>
            <w:r>
              <w:rPr>
                <w:rFonts w:ascii="方正黑体_GBK" w:hAnsi="方正黑体_GBK" w:eastAsia="方正黑体_GBK" w:cs="宋体"/>
                <w:sz w:val="20"/>
                <w:szCs w:val="24"/>
              </w:rPr>
              <w:t>江苏泰州农村商业银行股份有限公司</w:t>
            </w:r>
          </w:p>
        </w:tc>
        <w:tc>
          <w:tcPr>
            <w:tcW w:w="4050" w:type="dxa"/>
            <w:tcMar>
              <w:left w:w="120" w:type="dxa"/>
            </w:tcMar>
            <w:vAlign w:val="center"/>
          </w:tcPr>
          <w:p w14:paraId="30BC3475">
            <w:pPr>
              <w:spacing w:line="240" w:lineRule="auto"/>
              <w:rPr>
                <w:sz w:val="28"/>
                <w:szCs w:val="28"/>
              </w:rPr>
            </w:pPr>
            <w:r>
              <w:rPr>
                <w:rFonts w:ascii="方正黑体_GBK" w:hAnsi="方正黑体_GBK" w:eastAsia="方正黑体_GBK" w:cs="宋体"/>
                <w:sz w:val="20"/>
                <w:szCs w:val="24"/>
              </w:rPr>
              <w:t>泰州市海陵区西仓路36号</w:t>
            </w:r>
          </w:p>
        </w:tc>
        <w:tc>
          <w:tcPr>
            <w:tcW w:w="1350" w:type="dxa"/>
            <w:tcMar>
              <w:left w:w="120" w:type="dxa"/>
            </w:tcMar>
            <w:vAlign w:val="center"/>
          </w:tcPr>
          <w:p w14:paraId="2C314949">
            <w:pPr>
              <w:spacing w:line="240" w:lineRule="auto"/>
              <w:rPr>
                <w:sz w:val="28"/>
                <w:szCs w:val="28"/>
              </w:rPr>
            </w:pPr>
            <w:r>
              <w:rPr>
                <w:rFonts w:ascii="方正黑体_GBK" w:hAnsi="方正黑体_GBK" w:eastAsia="方正黑体_GBK" w:cs="宋体"/>
                <w:sz w:val="20"/>
                <w:szCs w:val="24"/>
              </w:rPr>
              <w:t>96008</w:t>
            </w:r>
          </w:p>
        </w:tc>
      </w:tr>
      <w:tr w14:paraId="6A6A3436">
        <w:trPr>
          <w:trHeight w:val="300" w:hRule="atLeast"/>
        </w:trPr>
        <w:tc>
          <w:tcPr>
            <w:tcW w:w="2100" w:type="dxa"/>
            <w:tcMar>
              <w:left w:w="120" w:type="dxa"/>
            </w:tcMar>
            <w:vAlign w:val="center"/>
          </w:tcPr>
          <w:p w14:paraId="036D8010">
            <w:pPr>
              <w:spacing w:line="240" w:lineRule="auto"/>
              <w:rPr>
                <w:sz w:val="28"/>
                <w:szCs w:val="28"/>
              </w:rPr>
            </w:pPr>
            <w:r>
              <w:rPr>
                <w:rFonts w:ascii="方正黑体_GBK" w:hAnsi="方正黑体_GBK" w:eastAsia="方正黑体_GBK" w:cs="宋体"/>
                <w:sz w:val="20"/>
                <w:szCs w:val="24"/>
              </w:rPr>
              <w:t>朝阳银行股份有限公司</w:t>
            </w:r>
          </w:p>
        </w:tc>
        <w:tc>
          <w:tcPr>
            <w:tcW w:w="4050" w:type="dxa"/>
            <w:tcMar>
              <w:left w:w="120" w:type="dxa"/>
            </w:tcMar>
            <w:vAlign w:val="center"/>
          </w:tcPr>
          <w:p w14:paraId="7D6F931E">
            <w:pPr>
              <w:spacing w:line="240" w:lineRule="auto"/>
              <w:rPr>
                <w:sz w:val="28"/>
                <w:szCs w:val="28"/>
              </w:rPr>
            </w:pPr>
            <w:r>
              <w:rPr>
                <w:rFonts w:ascii="方正黑体_GBK" w:hAnsi="方正黑体_GBK" w:eastAsia="方正黑体_GBK" w:cs="宋体"/>
                <w:sz w:val="20"/>
                <w:szCs w:val="24"/>
              </w:rPr>
              <w:t>朝阳市双塔区朝阳大街三段4号</w:t>
            </w:r>
          </w:p>
        </w:tc>
        <w:tc>
          <w:tcPr>
            <w:tcW w:w="1350" w:type="dxa"/>
            <w:tcMar>
              <w:left w:w="120" w:type="dxa"/>
            </w:tcMar>
            <w:vAlign w:val="center"/>
          </w:tcPr>
          <w:p w14:paraId="5BDB0367">
            <w:pPr>
              <w:spacing w:line="240" w:lineRule="auto"/>
              <w:rPr>
                <w:sz w:val="28"/>
                <w:szCs w:val="28"/>
              </w:rPr>
            </w:pPr>
            <w:r>
              <w:rPr>
                <w:rFonts w:ascii="方正黑体_GBK" w:hAnsi="方正黑体_GBK" w:eastAsia="方正黑体_GBK" w:cs="宋体"/>
                <w:sz w:val="20"/>
                <w:szCs w:val="24"/>
              </w:rPr>
              <w:t>0421-2632275</w:t>
            </w:r>
          </w:p>
        </w:tc>
      </w:tr>
    </w:tbl>
    <w:p w14:paraId="7024D594">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（二）关联关系信息</w:t>
      </w:r>
    </w:p>
    <w:p w14:paraId="666C81EF">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（1）与管理人有关联关系的机构信息如下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03760F07">
        <w:trPr>
          <w:trHeight w:val="300" w:hRule="atLeast"/>
        </w:trPr>
        <w:tc>
          <w:tcPr>
            <w:tcW w:w="3000" w:type="dxa"/>
            <w:vAlign w:val="center"/>
          </w:tcPr>
          <w:p w14:paraId="59CA53F5">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091C4E57">
            <w:pPr>
              <w:spacing w:line="240" w:lineRule="auto"/>
              <w:jc w:val="center"/>
              <w:rPr>
                <w:sz w:val="28"/>
                <w:szCs w:val="28"/>
              </w:rPr>
            </w:pPr>
            <w:r>
              <w:rPr>
                <w:rFonts w:ascii="方正黑体_GBK" w:hAnsi="方正黑体_GBK" w:eastAsia="方正黑体_GBK" w:cs="宋体"/>
                <w:b/>
                <w:sz w:val="20"/>
                <w:szCs w:val="24"/>
              </w:rPr>
              <w:t>关联关系</w:t>
            </w:r>
          </w:p>
        </w:tc>
      </w:tr>
      <w:tr w14:paraId="10F51BC7">
        <w:trPr>
          <w:trHeight w:val="300" w:hRule="atLeast"/>
        </w:trPr>
        <w:tc>
          <w:tcPr>
            <w:tcW w:w="3000" w:type="dxa"/>
            <w:tcMar>
              <w:left w:w="120" w:type="dxa"/>
            </w:tcMar>
            <w:vAlign w:val="center"/>
          </w:tcPr>
          <w:p w14:paraId="164DE9E9">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500" w:type="dxa"/>
            <w:tcMar>
              <w:left w:w="120" w:type="dxa"/>
            </w:tcMar>
            <w:vAlign w:val="center"/>
          </w:tcPr>
          <w:p w14:paraId="75D3EF14">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3F8AB0F7">
        <w:trPr>
          <w:trHeight w:val="300" w:hRule="atLeast"/>
        </w:trPr>
        <w:tc>
          <w:tcPr>
            <w:tcW w:w="3000" w:type="dxa"/>
            <w:tcMar>
              <w:left w:w="120" w:type="dxa"/>
            </w:tcMar>
            <w:vAlign w:val="center"/>
          </w:tcPr>
          <w:p w14:paraId="583EF012">
            <w:pPr>
              <w:spacing w:line="240" w:lineRule="auto"/>
              <w:rPr>
                <w:sz w:val="28"/>
                <w:szCs w:val="28"/>
              </w:rPr>
            </w:pPr>
            <w:r>
              <w:rPr>
                <w:rFonts w:ascii="方正黑体_GBK" w:hAnsi="方正黑体_GBK" w:eastAsia="方正黑体_GBK" w:cs="宋体"/>
                <w:sz w:val="20"/>
                <w:szCs w:val="24"/>
              </w:rPr>
              <w:t>南京银行股份有限公司</w:t>
            </w:r>
          </w:p>
        </w:tc>
        <w:tc>
          <w:tcPr>
            <w:tcW w:w="4500" w:type="dxa"/>
            <w:tcMar>
              <w:left w:w="120" w:type="dxa"/>
            </w:tcMar>
            <w:vAlign w:val="center"/>
          </w:tcPr>
          <w:p w14:paraId="7F4FF14A">
            <w:pPr>
              <w:spacing w:line="240" w:lineRule="auto"/>
              <w:rPr>
                <w:sz w:val="28"/>
                <w:szCs w:val="28"/>
              </w:rPr>
            </w:pPr>
            <w:r>
              <w:rPr>
                <w:rFonts w:ascii="方正黑体_GBK" w:hAnsi="方正黑体_GBK" w:eastAsia="方正黑体_GBK" w:cs="宋体"/>
                <w:sz w:val="20"/>
                <w:szCs w:val="24"/>
              </w:rPr>
              <w:t>发行机构股东</w:t>
            </w:r>
          </w:p>
        </w:tc>
      </w:tr>
      <w:tr w14:paraId="63ADC413">
        <w:trPr>
          <w:trHeight w:val="300" w:hRule="atLeast"/>
        </w:trPr>
        <w:tc>
          <w:tcPr>
            <w:tcW w:w="3000" w:type="dxa"/>
            <w:tcMar>
              <w:left w:w="120" w:type="dxa"/>
            </w:tcMar>
            <w:vAlign w:val="center"/>
          </w:tcPr>
          <w:p w14:paraId="135210C2">
            <w:pPr>
              <w:spacing w:line="240" w:lineRule="auto"/>
              <w:rPr>
                <w:sz w:val="28"/>
                <w:szCs w:val="28"/>
              </w:rPr>
            </w:pPr>
            <w:r>
              <w:rPr>
                <w:rFonts w:ascii="方正黑体_GBK" w:hAnsi="方正黑体_GBK" w:eastAsia="方正黑体_GBK" w:cs="宋体"/>
                <w:sz w:val="20"/>
                <w:szCs w:val="24"/>
              </w:rPr>
              <w:t>日照银行股份有限公司</w:t>
            </w:r>
          </w:p>
        </w:tc>
        <w:tc>
          <w:tcPr>
            <w:tcW w:w="4500" w:type="dxa"/>
            <w:tcMar>
              <w:left w:w="120" w:type="dxa"/>
            </w:tcMar>
            <w:vAlign w:val="center"/>
          </w:tcPr>
          <w:p w14:paraId="1B2E6797">
            <w:pPr>
              <w:spacing w:line="240" w:lineRule="auto"/>
              <w:rPr>
                <w:sz w:val="28"/>
                <w:szCs w:val="28"/>
              </w:rPr>
            </w:pPr>
            <w:r>
              <w:rPr>
                <w:rFonts w:ascii="方正黑体_GBK" w:hAnsi="方正黑体_GBK" w:eastAsia="方正黑体_GBK" w:cs="宋体"/>
                <w:sz w:val="20"/>
                <w:szCs w:val="24"/>
              </w:rPr>
              <w:t>发行机构股东控制或可施加重大影响的法人或非法人组织</w:t>
            </w:r>
          </w:p>
        </w:tc>
      </w:tr>
    </w:tbl>
    <w:p w14:paraId="23FD1748">
      <w:pPr>
        <w:pStyle w:val="29"/>
        <w:spacing w:line="240" w:lineRule="auto"/>
        <w:ind w:firstLine="400" w:firstLineChars="200"/>
        <w:rPr>
          <w:rFonts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（2）与托管人有关联关系的机构信息如下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0A92773C">
        <w:trPr>
          <w:trHeight w:val="300" w:hRule="atLeast"/>
        </w:trPr>
        <w:tc>
          <w:tcPr>
            <w:tcW w:w="3000" w:type="dxa"/>
            <w:vAlign w:val="center"/>
          </w:tcPr>
          <w:p w14:paraId="146AE3C9">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1B86B4D0">
            <w:pPr>
              <w:spacing w:line="240" w:lineRule="auto"/>
              <w:jc w:val="center"/>
              <w:rPr>
                <w:sz w:val="28"/>
                <w:szCs w:val="28"/>
              </w:rPr>
            </w:pPr>
            <w:r>
              <w:rPr>
                <w:rFonts w:ascii="方正黑体_GBK" w:hAnsi="方正黑体_GBK" w:eastAsia="方正黑体_GBK" w:cs="宋体"/>
                <w:b/>
                <w:sz w:val="20"/>
                <w:szCs w:val="24"/>
              </w:rPr>
              <w:t>关联关系</w:t>
            </w:r>
          </w:p>
        </w:tc>
      </w:tr>
      <w:tr w14:paraId="42876D4D">
        <w:trPr>
          <w:trHeight w:val="300" w:hRule="atLeast"/>
        </w:trPr>
        <w:tc>
          <w:tcPr>
            <w:tcW w:w="3000" w:type="dxa"/>
            <w:tcMar>
              <w:left w:w="120" w:type="dxa"/>
            </w:tcMar>
            <w:vAlign w:val="center"/>
          </w:tcPr>
          <w:p w14:paraId="524C5C2D">
            <w:pPr>
              <w:spacing w:line="240" w:lineRule="auto"/>
              <w:rPr>
                <w:sz w:val="28"/>
                <w:szCs w:val="28"/>
              </w:rPr>
            </w:pPr>
            <w:r>
              <w:rPr>
                <w:rFonts w:ascii="方正黑体_GBK" w:hAnsi="方正黑体_GBK" w:eastAsia="方正黑体_GBK" w:cs="宋体"/>
                <w:sz w:val="20"/>
                <w:szCs w:val="24"/>
              </w:rPr>
              <w:t>南银理财有限责任公司</w:t>
            </w:r>
          </w:p>
        </w:tc>
        <w:tc>
          <w:tcPr>
            <w:tcW w:w="4500" w:type="dxa"/>
            <w:tcMar>
              <w:left w:w="120" w:type="dxa"/>
            </w:tcMar>
            <w:vAlign w:val="center"/>
          </w:tcPr>
          <w:p w14:paraId="0485FE0D">
            <w:pPr>
              <w:spacing w:line="240" w:lineRule="auto"/>
              <w:rPr>
                <w:sz w:val="28"/>
                <w:szCs w:val="28"/>
              </w:rPr>
            </w:pPr>
            <w:r>
              <w:rPr>
                <w:rFonts w:ascii="方正黑体_GBK" w:hAnsi="方正黑体_GBK" w:eastAsia="方正黑体_GBK" w:cs="宋体"/>
                <w:sz w:val="20"/>
                <w:szCs w:val="24"/>
              </w:rPr>
              <w:t>托管机构的控股机构</w:t>
            </w:r>
          </w:p>
        </w:tc>
      </w:tr>
      <w:tr w14:paraId="49B00A84">
        <w:trPr>
          <w:trHeight w:val="300" w:hRule="atLeast"/>
        </w:trPr>
        <w:tc>
          <w:tcPr>
            <w:tcW w:w="3000" w:type="dxa"/>
            <w:tcMar>
              <w:left w:w="120" w:type="dxa"/>
            </w:tcMar>
            <w:vAlign w:val="center"/>
          </w:tcPr>
          <w:p w14:paraId="3E267C5E">
            <w:pPr>
              <w:spacing w:line="240" w:lineRule="auto"/>
              <w:rPr>
                <w:sz w:val="28"/>
                <w:szCs w:val="28"/>
              </w:rPr>
            </w:pPr>
            <w:r>
              <w:rPr>
                <w:rFonts w:ascii="方正黑体_GBK" w:hAnsi="方正黑体_GBK" w:eastAsia="方正黑体_GBK" w:cs="宋体"/>
                <w:sz w:val="20"/>
                <w:szCs w:val="24"/>
              </w:rPr>
              <w:t>日照银行股份有限公司</w:t>
            </w:r>
          </w:p>
        </w:tc>
        <w:tc>
          <w:tcPr>
            <w:tcW w:w="4500" w:type="dxa"/>
            <w:tcMar>
              <w:left w:w="120" w:type="dxa"/>
            </w:tcMar>
            <w:vAlign w:val="center"/>
          </w:tcPr>
          <w:p w14:paraId="277B485C">
            <w:pPr>
              <w:spacing w:line="240" w:lineRule="auto"/>
              <w:rPr>
                <w:sz w:val="28"/>
                <w:szCs w:val="28"/>
              </w:rPr>
            </w:pPr>
            <w:r>
              <w:rPr>
                <w:rFonts w:ascii="方正黑体_GBK" w:hAnsi="方正黑体_GBK" w:eastAsia="方正黑体_GBK" w:cs="宋体"/>
                <w:sz w:val="20"/>
                <w:szCs w:val="24"/>
              </w:rPr>
              <w:t>与托管机构存在重大利害关系</w:t>
            </w:r>
          </w:p>
        </w:tc>
      </w:tr>
    </w:tbl>
    <w:p w14:paraId="783FA66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097B796E">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080CE12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vanish w:val="0"/>
          <w:color w:val="3D3D3D"/>
          <w:kern w:val="0"/>
          <w:sz w:val="20"/>
          <w:szCs w:val="20"/>
        </w:rPr>
      </w:pPr>
      <w:r>
        <w:rPr>
          <w:rFonts w:ascii="方正黑体_GBK" w:hAnsi="方正黑体_GBK" w:eastAsia="方正黑体_GBK"/>
          <w:vanish w:val="0"/>
          <w:color w:val="3D3D3D"/>
          <w:kern w:val="0"/>
          <w:sz w:val="20"/>
          <w:szCs w:val="20"/>
        </w:rPr>
        <w:t>本理财产品的信息披露渠道至少包括行业统一信息披露渠道中国理财网（www.chinawealth.com.cn），其他信息披露渠道包括但不限于南银理财官网（www.nanyinwealth.com），销售机构的营业网点、官方网站、网上银行、手机银行、电话和短信等（将使用其中一种或多种渠道进行信息披露）。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r>
        <w:rPr>
          <w:rFonts w:hint="eastAsia" w:ascii="方正黑体_GBK" w:hAnsi="方正黑体_GBK" w:eastAsia="方正黑体_GBK"/>
          <w:vanish w:val="0"/>
          <w:color w:val="3D3D3D"/>
          <w:kern w:val="0"/>
          <w:sz w:val="20"/>
          <w:szCs w:val="20"/>
        </w:rPr>
        <w:t>。</w:t>
      </w:r>
    </w:p>
    <w:p w14:paraId="2A87BBDA">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5C74015F">
      <w:pPr>
        <w:spacing w:line="240" w:lineRule="auto"/>
        <w:ind w:firstLine="300"/>
        <w:rPr>
          <w:sz w:val="28"/>
          <w:szCs w:val="28"/>
        </w:rPr>
      </w:pPr>
      <w:r>
        <w:rPr>
          <w:rFonts w:ascii="方正黑体_GBK" w:hAnsi="方正黑体_GBK" w:eastAsia="方正黑体_GBK" w:cs="宋体"/>
          <w:sz w:val="20"/>
          <w:szCs w:val="24"/>
        </w:rPr>
        <w:t>1.净值信息</w:t>
      </w:r>
    </w:p>
    <w:p w14:paraId="1778F56A">
      <w:pPr>
        <w:spacing w:line="240" w:lineRule="auto"/>
        <w:ind w:firstLine="300"/>
        <w:rPr>
          <w:sz w:val="28"/>
          <w:szCs w:val="28"/>
        </w:rPr>
      </w:pPr>
      <w:r>
        <w:rPr>
          <w:rFonts w:ascii="方正黑体_GBK" w:hAnsi="方正黑体_GBK" w:eastAsia="方正黑体_GBK" w:cs="宋体"/>
          <w:sz w:val="20"/>
          <w:szCs w:val="24"/>
        </w:rPr>
        <w:t>管理人在本理财产品存续期间至少按周向投资者披露净值。</w:t>
      </w:r>
    </w:p>
    <w:p w14:paraId="1B1448AB">
      <w:pPr>
        <w:spacing w:line="240" w:lineRule="auto"/>
        <w:ind w:firstLine="300"/>
        <w:rPr>
          <w:sz w:val="28"/>
          <w:szCs w:val="28"/>
        </w:rPr>
      </w:pPr>
      <w:r>
        <w:rPr>
          <w:rFonts w:ascii="方正黑体_GBK" w:hAnsi="方正黑体_GBK" w:eastAsia="方正黑体_GBK" w:cs="宋体"/>
          <w:sz w:val="20"/>
          <w:szCs w:val="24"/>
        </w:rPr>
        <w:t>2.产品发行公告</w:t>
      </w:r>
    </w:p>
    <w:p w14:paraId="6E6D26E3">
      <w:pPr>
        <w:spacing w:line="240" w:lineRule="auto"/>
        <w:ind w:firstLine="300"/>
        <w:rPr>
          <w:sz w:val="28"/>
          <w:szCs w:val="28"/>
        </w:rPr>
      </w:pPr>
      <w:r>
        <w:rPr>
          <w:rFonts w:ascii="方正黑体_GBK" w:hAnsi="方正黑体_GBK" w:eastAsia="方正黑体_GBK" w:cs="宋体"/>
          <w:sz w:val="20"/>
          <w:szCs w:val="24"/>
        </w:rPr>
        <w:t>管理人将在本理财产品成立后5个工作日内披露产品发行公告。</w:t>
      </w:r>
    </w:p>
    <w:p w14:paraId="7FCBC001">
      <w:pPr>
        <w:spacing w:line="240" w:lineRule="auto"/>
        <w:ind w:firstLine="300"/>
        <w:rPr>
          <w:sz w:val="28"/>
          <w:szCs w:val="28"/>
        </w:rPr>
      </w:pPr>
      <w:r>
        <w:rPr>
          <w:rFonts w:ascii="方正黑体_GBK" w:hAnsi="方正黑体_GBK" w:eastAsia="方正黑体_GBK" w:cs="宋体"/>
          <w:sz w:val="20"/>
          <w:szCs w:val="24"/>
        </w:rPr>
        <w:t>3.定期报告</w:t>
      </w:r>
    </w:p>
    <w:p w14:paraId="1182F278">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披露产品的季度报告，每年8月31日前披露产品的半年度报告，每年4月30日前披露产品上一年度的年度报告。如果本理财产品成立不足90个自然日，管理人可以不编制产品当期的季度、半年和年度报告。首次定期报告的报告期（季度、半年或年度）从成立日开始至第一个报告期末。如本理财产品期限超过90个自然日，在存续期内至少披露一次定期报告。如果本理财产品剩余存续期不足完整报告期，且到期公告或清算报告包括对应定期报告内容的，管理人可以不编制产品剩余存续期所对应的季度、半年和年度报告。具体披露以最新监管规定及自律规范规定为准。</w:t>
      </w:r>
    </w:p>
    <w:p w14:paraId="5C13B51B">
      <w:pPr>
        <w:spacing w:line="240" w:lineRule="auto"/>
        <w:ind w:firstLine="300"/>
        <w:rPr>
          <w:sz w:val="28"/>
          <w:szCs w:val="28"/>
        </w:rPr>
      </w:pPr>
      <w:r>
        <w:rPr>
          <w:rFonts w:ascii="方正黑体_GBK" w:hAnsi="方正黑体_GBK" w:eastAsia="方正黑体_GBK" w:cs="宋体"/>
          <w:sz w:val="20"/>
          <w:szCs w:val="24"/>
        </w:rPr>
        <w:t>4.到期公告</w:t>
      </w:r>
    </w:p>
    <w:p w14:paraId="7C3644EC">
      <w:pPr>
        <w:spacing w:line="240" w:lineRule="auto"/>
        <w:ind w:firstLine="300"/>
        <w:rPr>
          <w:sz w:val="28"/>
          <w:szCs w:val="28"/>
        </w:rPr>
      </w:pPr>
      <w:r>
        <w:rPr>
          <w:rFonts w:ascii="方正黑体_GBK" w:hAnsi="方正黑体_GBK" w:eastAsia="方正黑体_GBK" w:cs="宋体"/>
          <w:sz w:val="20"/>
          <w:szCs w:val="24"/>
        </w:rPr>
        <w:t>管理人将在本理财产品终止后5个工作日内披露产品到期公告。</w:t>
      </w:r>
    </w:p>
    <w:p w14:paraId="69E4EC8E">
      <w:pPr>
        <w:spacing w:line="240" w:lineRule="auto"/>
        <w:ind w:firstLine="300"/>
        <w:rPr>
          <w:sz w:val="28"/>
          <w:szCs w:val="28"/>
        </w:rPr>
      </w:pPr>
      <w:r>
        <w:rPr>
          <w:rFonts w:ascii="方正黑体_GBK" w:hAnsi="方正黑体_GBK" w:eastAsia="方正黑体_GBK" w:cs="宋体"/>
          <w:sz w:val="20"/>
          <w:szCs w:val="24"/>
        </w:rPr>
        <w:t>5.重大事项公告</w:t>
      </w:r>
    </w:p>
    <w:p w14:paraId="29606219">
      <w:pPr>
        <w:spacing w:line="240" w:lineRule="auto"/>
        <w:ind w:firstLine="300"/>
        <w:rPr>
          <w:sz w:val="28"/>
          <w:szCs w:val="28"/>
        </w:rPr>
      </w:pPr>
      <w:r>
        <w:rPr>
          <w:rFonts w:ascii="方正黑体_GBK" w:hAnsi="方正黑体_GBK" w:eastAsia="方正黑体_GBK" w:cs="宋体"/>
          <w:sz w:val="20"/>
          <w:szCs w:val="24"/>
        </w:rPr>
        <w:t>管理人将在发生可能对本理财产品投资者或者理财产品收益产生重大影响的事件后2个工作日内披露重大事项公告。</w:t>
      </w:r>
    </w:p>
    <w:p w14:paraId="17CDA231">
      <w:pPr>
        <w:spacing w:line="240" w:lineRule="auto"/>
        <w:ind w:firstLine="300"/>
        <w:rPr>
          <w:sz w:val="28"/>
          <w:szCs w:val="28"/>
        </w:rPr>
      </w:pPr>
      <w:r>
        <w:rPr>
          <w:rFonts w:ascii="方正黑体_GBK" w:hAnsi="方正黑体_GBK" w:eastAsia="方正黑体_GBK" w:cs="宋体"/>
          <w:sz w:val="20"/>
          <w:szCs w:val="24"/>
        </w:rPr>
        <w:t>6.临时公告</w:t>
      </w:r>
    </w:p>
    <w:p w14:paraId="66686CF9">
      <w:pPr>
        <w:spacing w:line="240" w:lineRule="auto"/>
        <w:ind w:firstLine="300"/>
        <w:rPr>
          <w:sz w:val="28"/>
          <w:szCs w:val="28"/>
        </w:rPr>
      </w:pPr>
      <w:r>
        <w:rPr>
          <w:rFonts w:ascii="方正黑体_GBK" w:hAnsi="方正黑体_GBK" w:eastAsia="方正黑体_GBK" w:cs="宋体"/>
          <w:sz w:val="20"/>
          <w:szCs w:val="24"/>
        </w:rPr>
        <w:t>理财产品在运作管理过程中，发生可能对理财产品持有人权益产生影响的事项时，管理人将根据法律法规规定及时进行临时信息披露。</w:t>
      </w:r>
    </w:p>
    <w:p w14:paraId="26820422">
      <w:pPr>
        <w:spacing w:line="240" w:lineRule="auto"/>
        <w:ind w:firstLine="300"/>
        <w:rPr>
          <w:sz w:val="28"/>
          <w:szCs w:val="28"/>
        </w:rPr>
      </w:pPr>
      <w:r>
        <w:rPr>
          <w:rFonts w:ascii="方正黑体_GBK" w:hAnsi="方正黑体_GBK" w:eastAsia="方正黑体_GBK" w:cs="宋体"/>
          <w:sz w:val="20"/>
          <w:szCs w:val="24"/>
        </w:rPr>
        <w:t>7.关联交易信息披露</w:t>
      </w:r>
    </w:p>
    <w:p w14:paraId="4C0FBF20">
      <w:pPr>
        <w:spacing w:line="240" w:lineRule="auto"/>
        <w:ind w:firstLine="300"/>
        <w:rPr>
          <w:sz w:val="28"/>
          <w:szCs w:val="28"/>
        </w:rPr>
      </w:pPr>
      <w:r>
        <w:rPr>
          <w:rFonts w:ascii="方正黑体_GBK" w:hAnsi="方正黑体_GBK" w:eastAsia="方正黑体_GBK" w:cs="宋体"/>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39B23351">
      <w:pPr>
        <w:spacing w:line="240" w:lineRule="auto"/>
        <w:ind w:firstLine="300"/>
        <w:rPr>
          <w:sz w:val="28"/>
          <w:szCs w:val="28"/>
        </w:rPr>
      </w:pPr>
      <w:r>
        <w:rPr>
          <w:rFonts w:ascii="方正黑体_GBK" w:hAnsi="方正黑体_GBK" w:eastAsia="方正黑体_GBK" w:cs="宋体"/>
          <w:sz w:val="20"/>
          <w:szCs w:val="24"/>
        </w:rPr>
        <w:t>8.账单</w:t>
      </w:r>
    </w:p>
    <w:p w14:paraId="01080D59">
      <w:pPr>
        <w:spacing w:line="240" w:lineRule="auto"/>
        <w:ind w:firstLine="300"/>
        <w:rPr>
          <w:sz w:val="28"/>
          <w:szCs w:val="28"/>
        </w:rPr>
      </w:pPr>
      <w:r>
        <w:rPr>
          <w:rFonts w:ascii="方正黑体_GBK" w:hAnsi="方正黑体_GBK" w:eastAsia="方正黑体_GBK" w:cs="宋体"/>
          <w:sz w:val="20"/>
          <w:szCs w:val="24"/>
        </w:rPr>
        <w:t>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100504CD">
      <w:pPr>
        <w:spacing w:line="240" w:lineRule="auto"/>
        <w:ind w:firstLine="300"/>
        <w:rPr>
          <w:sz w:val="28"/>
          <w:szCs w:val="28"/>
        </w:rPr>
      </w:pPr>
      <w:r>
        <w:rPr>
          <w:rFonts w:ascii="方正黑体_GBK" w:hAnsi="方正黑体_GBK" w:eastAsia="方正黑体_GBK" w:cs="宋体"/>
          <w:b/>
          <w:sz w:val="20"/>
          <w:szCs w:val="24"/>
        </w:rPr>
        <w:t>9.在本理财产品存续期内：</w:t>
      </w:r>
    </w:p>
    <w:p w14:paraId="00002065">
      <w:pPr>
        <w:spacing w:line="240" w:lineRule="auto"/>
        <w:ind w:firstLine="300"/>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462200FD">
      <w:pPr>
        <w:spacing w:line="240" w:lineRule="auto"/>
        <w:ind w:firstLine="300"/>
        <w:rPr>
          <w:sz w:val="28"/>
          <w:szCs w:val="28"/>
        </w:rPr>
      </w:pPr>
      <w:r>
        <w:rPr>
          <w:rFonts w:ascii="方正黑体_GBK" w:hAnsi="方正黑体_GBK" w:eastAsia="方正黑体_GBK" w:cs="宋体"/>
          <w:sz w:val="20"/>
          <w:szCs w:val="24"/>
        </w:rPr>
        <w:t>10.其他公告</w:t>
      </w:r>
    </w:p>
    <w:p w14:paraId="626654C9">
      <w:pPr>
        <w:spacing w:line="240" w:lineRule="auto"/>
        <w:ind w:firstLine="300"/>
        <w:rPr>
          <w:sz w:val="28"/>
          <w:szCs w:val="28"/>
        </w:rPr>
      </w:pPr>
      <w:r>
        <w:rPr>
          <w:rFonts w:ascii="方正黑体_GBK" w:hAnsi="方正黑体_GBK" w:eastAsia="方正黑体_GBK" w:cs="宋体"/>
          <w:sz w:val="20"/>
          <w:szCs w:val="24"/>
        </w:rPr>
        <w:t>理财产品在运作管理过程中，管理人根据实际运作情况发布的其他公告。</w:t>
      </w:r>
    </w:p>
    <w:p w14:paraId="1F56301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027B234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20D62C8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7D7B1869">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1C043C6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282F3C06">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6BD0637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九</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0B3E267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12C633D3">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164BC8C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0EBA9E5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23BCF4B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5D80FD6C">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F000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4E41DCB">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4E41DCB">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AE80D">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F30BF3"/>
    <w:multiLevelType w:val="multilevel"/>
    <w:tmpl w:val="FAF30BF3"/>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1">
    <w:nsid w:val="5669D67A"/>
    <w:multiLevelType w:val="multilevel"/>
    <w:tmpl w:val="5669D67A"/>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2">
    <w:nsid w:val="7FFB7EB3"/>
    <w:multiLevelType w:val="multilevel"/>
    <w:tmpl w:val="7FFB7EB3"/>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3FBD55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ac01bb3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4b50ef13"/>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6598b057"/>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0f179dbb"/>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c5107102"/>
    <w:uiPriority w:val="0"/>
  </w:style>
  <w:style w:type="paragraph" w:customStyle="1" w:styleId="20">
    <w:name w:val="toc 154fdb06c"/>
    <w:basedOn w:val="15"/>
    <w:next w:val="1"/>
    <w:autoRedefine/>
    <w:uiPriority w:val="0"/>
  </w:style>
  <w:style w:type="paragraph" w:customStyle="1" w:styleId="21">
    <w:name w:val="toc 2feadc4e9"/>
    <w:basedOn w:val="15"/>
    <w:next w:val="1"/>
    <w:autoRedefine/>
    <w:uiPriority w:val="0"/>
    <w:pPr>
      <w:ind w:left="420"/>
    </w:pPr>
  </w:style>
  <w:style w:type="paragraph" w:customStyle="1" w:styleId="22">
    <w:name w:val="toc 33b9f4603"/>
    <w:basedOn w:val="15"/>
    <w:next w:val="1"/>
    <w:autoRedefine/>
    <w:uiPriority w:val="0"/>
    <w:pPr>
      <w:ind w:left="840"/>
    </w:pPr>
  </w:style>
  <w:style w:type="paragraph" w:customStyle="1" w:styleId="23">
    <w:name w:val="toc 4cfb9a0a7"/>
    <w:basedOn w:val="15"/>
    <w:next w:val="1"/>
    <w:autoRedefine/>
    <w:uiPriority w:val="0"/>
    <w:pPr>
      <w:ind w:left="1260"/>
    </w:pPr>
  </w:style>
  <w:style w:type="paragraph" w:customStyle="1" w:styleId="24">
    <w:name w:val="toc 51fe3148e"/>
    <w:basedOn w:val="15"/>
    <w:next w:val="1"/>
    <w:autoRedefine/>
    <w:uiPriority w:val="0"/>
    <w:pPr>
      <w:ind w:left="1680"/>
    </w:pPr>
  </w:style>
  <w:style w:type="paragraph" w:customStyle="1" w:styleId="25">
    <w:name w:val="headercf650190"/>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670ebbb6"/>
    <w:basedOn w:val="15"/>
    <w:uiPriority w:val="0"/>
    <w:pPr>
      <w:tabs>
        <w:tab w:val="center" w:pos="4153"/>
        <w:tab w:val="right" w:pos="8307"/>
      </w:tabs>
      <w:adjustRightInd/>
      <w:snapToGrid w:val="0"/>
      <w:contextualSpacing w:val="0"/>
      <w:jc w:val="left"/>
    </w:pPr>
    <w:rPr>
      <w:sz w:val="18"/>
    </w:rPr>
  </w:style>
  <w:style w:type="character" w:customStyle="1" w:styleId="27">
    <w:name w:val="Strongd25674e2"/>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38864e7f"/>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1c01e2de"/>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e69edaa6"/>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37ea4954"/>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15571423"/>
    <w:uiPriority w:val="0"/>
  </w:style>
  <w:style w:type="paragraph" w:customStyle="1" w:styleId="34">
    <w:name w:val="Normal Indent5ee683cc"/>
    <w:basedOn w:val="29"/>
    <w:uiPriority w:val="0"/>
    <w:pPr>
      <w:ind w:firstLine="200" w:firstLineChars="200"/>
    </w:pPr>
  </w:style>
  <w:style w:type="paragraph" w:customStyle="1" w:styleId="35">
    <w:name w:val="toc 525f1d83e"/>
    <w:basedOn w:val="29"/>
    <w:next w:val="1"/>
    <w:uiPriority w:val="0"/>
    <w:pPr>
      <w:ind w:left="1680"/>
    </w:pPr>
  </w:style>
  <w:style w:type="paragraph" w:customStyle="1" w:styleId="36">
    <w:name w:val="toc 3a6e0c808"/>
    <w:basedOn w:val="29"/>
    <w:next w:val="1"/>
    <w:uiPriority w:val="0"/>
    <w:pPr>
      <w:ind w:left="840"/>
    </w:pPr>
  </w:style>
  <w:style w:type="paragraph" w:customStyle="1" w:styleId="37">
    <w:name w:val="footer290ad9da"/>
    <w:basedOn w:val="29"/>
    <w:uiPriority w:val="0"/>
    <w:pPr>
      <w:tabs>
        <w:tab w:val="center" w:pos="4153"/>
        <w:tab w:val="right" w:pos="8307"/>
      </w:tabs>
      <w:adjustRightInd/>
      <w:snapToGrid w:val="0"/>
      <w:contextualSpacing w:val="0"/>
      <w:jc w:val="left"/>
    </w:pPr>
    <w:rPr>
      <w:sz w:val="18"/>
    </w:rPr>
  </w:style>
  <w:style w:type="paragraph" w:customStyle="1" w:styleId="38">
    <w:name w:val="headeree0bae24"/>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bb4786d3"/>
    <w:basedOn w:val="29"/>
    <w:next w:val="1"/>
    <w:uiPriority w:val="0"/>
  </w:style>
  <w:style w:type="paragraph" w:customStyle="1" w:styleId="40">
    <w:name w:val="toc 4ffba5a93"/>
    <w:basedOn w:val="29"/>
    <w:next w:val="1"/>
    <w:uiPriority w:val="0"/>
    <w:pPr>
      <w:ind w:left="1260"/>
    </w:pPr>
  </w:style>
  <w:style w:type="paragraph" w:customStyle="1" w:styleId="41">
    <w:name w:val="toc 2340339fd"/>
    <w:basedOn w:val="29"/>
    <w:next w:val="1"/>
    <w:uiPriority w:val="0"/>
    <w:pPr>
      <w:ind w:left="420"/>
    </w:pPr>
  </w:style>
  <w:style w:type="paragraph" w:customStyle="1" w:styleId="42">
    <w:name w:val="Normal (Web)a727cb8d"/>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01b4c28401b4c284"/>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169c10b0169c10b0"/>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7582c3b87582c3b8"/>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5671795b5671795b"/>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24a3af7624a3af76"/>
    <w:uiPriority w:val="0"/>
  </w:style>
  <w:style w:type="paragraph" w:customStyle="1" w:styleId="49">
    <w:name w:val="引文目录1fb9b2ec1fb9b2ec1"/>
    <w:basedOn w:val="44"/>
    <w:next w:val="1"/>
    <w:uiPriority w:val="0"/>
    <w:pPr>
      <w:ind w:left="200" w:leftChars="200"/>
    </w:pPr>
  </w:style>
  <w:style w:type="paragraph" w:customStyle="1" w:styleId="50">
    <w:name w:val="toc 5cf7d8000cf7d8000"/>
    <w:basedOn w:val="44"/>
    <w:next w:val="1"/>
    <w:uiPriority w:val="0"/>
    <w:pPr>
      <w:ind w:left="1680"/>
    </w:pPr>
  </w:style>
  <w:style w:type="paragraph" w:customStyle="1" w:styleId="51">
    <w:name w:val="toc 3962579d2962579d2"/>
    <w:basedOn w:val="44"/>
    <w:next w:val="1"/>
    <w:uiPriority w:val="0"/>
    <w:pPr>
      <w:ind w:left="840"/>
    </w:pPr>
  </w:style>
  <w:style w:type="paragraph" w:customStyle="1" w:styleId="52">
    <w:name w:val="footer59c7ee8159c7ee81"/>
    <w:basedOn w:val="44"/>
    <w:uiPriority w:val="0"/>
    <w:pPr>
      <w:tabs>
        <w:tab w:val="center" w:pos="4153"/>
        <w:tab w:val="right" w:pos="8307"/>
      </w:tabs>
      <w:adjustRightInd/>
      <w:snapToGrid w:val="0"/>
      <w:contextualSpacing w:val="0"/>
      <w:jc w:val="left"/>
    </w:pPr>
    <w:rPr>
      <w:sz w:val="18"/>
    </w:rPr>
  </w:style>
  <w:style w:type="paragraph" w:customStyle="1" w:styleId="53">
    <w:name w:val="header7c7b4d9d7c7b4d9d"/>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afa08b5dafa08b5d"/>
    <w:basedOn w:val="44"/>
    <w:next w:val="1"/>
    <w:uiPriority w:val="0"/>
  </w:style>
  <w:style w:type="paragraph" w:customStyle="1" w:styleId="55">
    <w:name w:val="toc 45b10871d5b10871d"/>
    <w:basedOn w:val="44"/>
    <w:next w:val="1"/>
    <w:uiPriority w:val="0"/>
    <w:pPr>
      <w:ind w:left="1260"/>
    </w:pPr>
  </w:style>
  <w:style w:type="paragraph" w:customStyle="1" w:styleId="56">
    <w:name w:val="toc 271ca363e71ca363e"/>
    <w:basedOn w:val="44"/>
    <w:next w:val="1"/>
    <w:uiPriority w:val="0"/>
    <w:pPr>
      <w:ind w:left="420"/>
    </w:pPr>
  </w:style>
  <w:style w:type="paragraph" w:customStyle="1" w:styleId="57">
    <w:name w:val="列出段落1d48616c5d48616c5"/>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37</Pages>
  <Words>5032</Words>
  <Characters>5046</Characters>
  <Lines>107</Lines>
  <Paragraphs>48</Paragraphs>
  <TotalTime>45</TotalTime>
  <ScaleCrop>false</ScaleCrop>
  <LinksUpToDate>false</LinksUpToDate>
  <CharactersWithSpaces>5047</CharactersWithSpaces>
  <Application>WPS Office_12.1.28492.28492_F1E327BC-269C-435d-A152-05C5408002CA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2026-09-05T22:53:40Z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2052-12.1.28492.28492</vt:lpwstr>
  </property>
  <property fmtid="{D5CDD505-2E9C-101B-9397-08002B2CF9AE}" pid="3" name="ICV">
    <vt:lpwstr>02AEF6DED8204361AEB85E71A6BDE641</vt:lpwstr>
  </property>
</Properties>
</file>