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866D9">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6AF1619B">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58FFB9E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31CB31A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468BD7A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41296BE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66F349D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4AF8B43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0FC7C7F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31825E1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798D1D0B">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（四）流动性风险：从理财产品资产配置的角度，流动性风险主要是指因理财产品所配置资产缺乏流动性，使得理财期末或理财产品的开放期内（如有），无法以合理的价格及</w:t>
      </w:r>
      <w:bookmarkStart w:id="0" w:name="_GoBack"/>
      <w:bookmarkEnd w:id="0"/>
      <w:r>
        <w:rPr>
          <w:rFonts w:hint="eastAsia" w:ascii="方正黑体_GBK" w:hAnsi="方正黑体_GBK" w:eastAsia="方正黑体_GBK"/>
          <w:vanish w:val="0"/>
          <w:color w:val="3D3D3D"/>
          <w:kern w:val="0"/>
          <w:sz w:val="18"/>
          <w:szCs w:val="18"/>
        </w:rPr>
        <w:t>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24F0DFC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5A039C9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30D7F1A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70D5AE9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26C3545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3F6DC26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5542017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3A35860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49DBD53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7226AB4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4AFCDC6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44A2C6C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5CAA665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0242DBE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73E5952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6E4585C9">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26572A0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693DA371">
      <w:pPr>
        <w:spacing w:line="240" w:lineRule="auto"/>
        <w:rPr>
          <w:sz w:val="28"/>
          <w:szCs w:val="28"/>
        </w:rPr>
      </w:pPr>
      <w:r>
        <w:rPr>
          <w:rFonts w:ascii="方正黑体_GBK" w:hAnsi="方正黑体_GBK" w:eastAsia="方正黑体_GBK" w:cs="宋体"/>
          <w:b/>
          <w:sz w:val="18"/>
          <w:szCs w:val="24"/>
        </w:rPr>
        <w:t xml:space="preserve">    1.债券类资产投资风险</w:t>
      </w:r>
    </w:p>
    <w:p w14:paraId="68B6F659">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5CA9328E">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772318EF">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5E05BDDC">
      <w:pPr>
        <w:spacing w:line="240" w:lineRule="auto"/>
        <w:rPr>
          <w:sz w:val="28"/>
          <w:szCs w:val="28"/>
        </w:rPr>
      </w:pPr>
      <w:r>
        <w:rPr>
          <w:rFonts w:ascii="方正黑体_GBK" w:hAnsi="方正黑体_GBK" w:eastAsia="方正黑体_GBK" w:cs="宋体"/>
          <w:b/>
          <w:sz w:val="18"/>
          <w:szCs w:val="24"/>
        </w:rPr>
        <w:t xml:space="preserve">    3.资产管理产品投资风险</w:t>
      </w:r>
    </w:p>
    <w:p w14:paraId="392D5DD3">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4B9CD799">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3DEC33FE">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2F7BA95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440E2170">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399天</w:t>
      </w:r>
      <w:r>
        <w:rPr>
          <w:rFonts w:hint="eastAsia" w:ascii="方正黑体_GBK" w:hAnsi="方正黑体_GBK" w:eastAsia="方正黑体_GBK"/>
          <w:b/>
          <w:bCs w:val="0"/>
          <w:vanish w:val="0"/>
          <w:color w:val="3D3D3D"/>
          <w:kern w:val="0"/>
          <w:sz w:val="18"/>
          <w:szCs w:val="18"/>
        </w:rPr>
        <w:t>。</w:t>
      </w:r>
    </w:p>
    <w:p w14:paraId="3CC68773">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4162EA2F">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05B40D6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2C4CDDA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7878D97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00E978E2">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274DBBD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7323E496">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4BD126B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2E1843B8">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46ED9E4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798EB06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3E1E590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4120964A">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09098474">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5A35C51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33B4EE6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6EE37248">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74F3AAF4">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1DD0DDD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02E0FCC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6EF421D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0141CB9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022D7B6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55E18AC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6D2ABA6F">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2895E25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08B6EB17">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0D8849F2">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020C510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0F59BC3C">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699A257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74E362F8">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0D27742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2A0AC5C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3EB8075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3C703FF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7A7C38B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4211302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5C1B7361">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15BB011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7145BE32">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7695F30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3E9278CC">
      <w:pPr>
        <w:spacing w:line="240" w:lineRule="auto"/>
        <w:rPr>
          <w:sz w:val="28"/>
          <w:szCs w:val="28"/>
        </w:rPr>
      </w:pPr>
      <w:r>
        <w:rPr>
          <w:rFonts w:ascii="方正黑体_GBK" w:hAnsi="方正黑体_GBK" w:eastAsia="方正黑体_GBK"/>
          <w:sz w:val="28"/>
          <w:szCs w:val="28"/>
        </w:rPr>
        <w:br w:type="page"/>
      </w:r>
    </w:p>
    <w:p w14:paraId="02A6A35E">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307DBE4F">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5F8D1D6C">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0D7C6B4D">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35A3C7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76E4B6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南银理财珠联璧合鑫逸稳一年290期封闭式公募人民币理财产品</w:t>
            </w:r>
          </w:p>
        </w:tc>
      </w:tr>
      <w:tr w14:paraId="31D1BAC7">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5145AD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04BC7B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59384514">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B2AB8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499B2C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4C9D2D89">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5FA3FC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15257D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ZZ700322600251</w:t>
            </w:r>
          </w:p>
        </w:tc>
      </w:tr>
      <w:tr w14:paraId="0092A556">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4CA50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7B0E9D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Z7003226000240(投资者可依据该编码在中国理财网www.chinawealth.com.cn查询理财产品相关信息）</w:t>
            </w:r>
          </w:p>
        </w:tc>
      </w:tr>
      <w:tr w14:paraId="2E53B015">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D70AE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417D3A5B">
            <w:pPr>
              <w:spacing w:line="240" w:lineRule="auto"/>
              <w:rPr>
                <w:sz w:val="28"/>
                <w:szCs w:val="28"/>
              </w:rPr>
            </w:pPr>
            <w:r>
              <w:rPr>
                <w:rFonts w:ascii="方正黑体_GBK" w:hAnsi="方正黑体_GBK" w:eastAsia="方正黑体_GBK" w:cs="宋体"/>
                <w:sz w:val="22"/>
                <w:szCs w:val="22"/>
              </w:rPr>
              <w:t>A份额：NYXY001323</w:t>
            </w:r>
          </w:p>
          <w:p w14:paraId="562F9F31">
            <w:pPr>
              <w:spacing w:line="240" w:lineRule="auto"/>
              <w:rPr>
                <w:sz w:val="28"/>
                <w:szCs w:val="28"/>
              </w:rPr>
            </w:pPr>
            <w:r>
              <w:rPr>
                <w:rFonts w:ascii="方正黑体_GBK" w:hAnsi="方正黑体_GBK" w:eastAsia="方正黑体_GBK" w:cs="宋体"/>
                <w:sz w:val="22"/>
                <w:szCs w:val="22"/>
              </w:rPr>
              <w:t>B份额：NYXY001324</w:t>
            </w:r>
          </w:p>
          <w:p w14:paraId="77C2DFB9">
            <w:pPr>
              <w:spacing w:line="240" w:lineRule="auto"/>
              <w:rPr>
                <w:sz w:val="28"/>
                <w:szCs w:val="28"/>
              </w:rPr>
            </w:pPr>
            <w:r>
              <w:rPr>
                <w:rFonts w:ascii="方正黑体_GBK" w:hAnsi="方正黑体_GBK" w:eastAsia="方正黑体_GBK" w:cs="宋体"/>
                <w:sz w:val="22"/>
                <w:szCs w:val="22"/>
              </w:rPr>
              <w:t>C份额：NYXY001325</w:t>
            </w:r>
          </w:p>
          <w:p w14:paraId="64886C15">
            <w:pPr>
              <w:spacing w:line="240" w:lineRule="auto"/>
              <w:rPr>
                <w:sz w:val="28"/>
                <w:szCs w:val="28"/>
              </w:rPr>
            </w:pPr>
            <w:r>
              <w:rPr>
                <w:rFonts w:ascii="方正黑体_GBK" w:hAnsi="方正黑体_GBK" w:eastAsia="方正黑体_GBK" w:cs="宋体"/>
                <w:sz w:val="22"/>
                <w:szCs w:val="22"/>
              </w:rPr>
              <w:t>L份额：NYXY001326</w:t>
            </w:r>
          </w:p>
          <w:p w14:paraId="46FF7CA0">
            <w:pPr>
              <w:spacing w:line="240" w:lineRule="auto"/>
              <w:rPr>
                <w:sz w:val="28"/>
                <w:szCs w:val="28"/>
              </w:rPr>
            </w:pPr>
            <w:r>
              <w:rPr>
                <w:rFonts w:ascii="方正黑体_GBK" w:hAnsi="方正黑体_GBK" w:eastAsia="方正黑体_GBK" w:cs="宋体"/>
                <w:sz w:val="22"/>
                <w:szCs w:val="22"/>
              </w:rPr>
              <w:t>M份额：NYXY001835</w:t>
            </w:r>
          </w:p>
          <w:p w14:paraId="41916CAE">
            <w:pPr>
              <w:spacing w:line="240" w:lineRule="auto"/>
              <w:rPr>
                <w:sz w:val="28"/>
                <w:szCs w:val="28"/>
              </w:rPr>
            </w:pPr>
            <w:r>
              <w:rPr>
                <w:rFonts w:ascii="方正黑体_GBK" w:hAnsi="方正黑体_GBK" w:eastAsia="方正黑体_GBK" w:cs="宋体"/>
                <w:sz w:val="22"/>
                <w:szCs w:val="22"/>
              </w:rPr>
              <w:t>N份额：NYXY001836</w:t>
            </w:r>
          </w:p>
          <w:p w14:paraId="59D256BB">
            <w:pPr>
              <w:spacing w:line="240" w:lineRule="auto"/>
              <w:rPr>
                <w:sz w:val="28"/>
                <w:szCs w:val="28"/>
              </w:rPr>
            </w:pPr>
            <w:r>
              <w:rPr>
                <w:rFonts w:ascii="方正黑体_GBK" w:hAnsi="方正黑体_GBK" w:eastAsia="方正黑体_GBK" w:cs="宋体"/>
                <w:sz w:val="22"/>
                <w:szCs w:val="22"/>
              </w:rPr>
              <w:t>O份额：NYXY001327</w:t>
            </w:r>
          </w:p>
          <w:p w14:paraId="4EA4571D">
            <w:pPr>
              <w:spacing w:line="240" w:lineRule="auto"/>
              <w:rPr>
                <w:sz w:val="28"/>
                <w:szCs w:val="28"/>
              </w:rPr>
            </w:pPr>
            <w:r>
              <w:rPr>
                <w:rFonts w:ascii="方正黑体_GBK" w:hAnsi="方正黑体_GBK" w:eastAsia="方正黑体_GBK" w:cs="宋体"/>
                <w:sz w:val="22"/>
                <w:szCs w:val="22"/>
              </w:rPr>
              <w:t>A2份额：NYXY001837</w:t>
            </w:r>
          </w:p>
          <w:p w14:paraId="6FC5CBE1">
            <w:pPr>
              <w:spacing w:line="240" w:lineRule="auto"/>
              <w:rPr>
                <w:sz w:val="28"/>
                <w:szCs w:val="28"/>
              </w:rPr>
            </w:pPr>
            <w:r>
              <w:rPr>
                <w:rFonts w:ascii="方正黑体_GBK" w:hAnsi="方正黑体_GBK" w:eastAsia="方正黑体_GBK" w:cs="宋体"/>
                <w:sz w:val="22"/>
                <w:szCs w:val="22"/>
              </w:rPr>
              <w:t>E2份额：NYXY001838</w:t>
            </w:r>
          </w:p>
          <w:p w14:paraId="7536F4CB">
            <w:pPr>
              <w:spacing w:line="240" w:lineRule="auto"/>
              <w:rPr>
                <w:sz w:val="28"/>
                <w:szCs w:val="28"/>
              </w:rPr>
            </w:pPr>
            <w:r>
              <w:rPr>
                <w:rFonts w:ascii="方正黑体_GBK" w:hAnsi="方正黑体_GBK" w:eastAsia="方正黑体_GBK" w:cs="宋体"/>
                <w:sz w:val="22"/>
                <w:szCs w:val="22"/>
              </w:rPr>
              <w:t>F2份额：NYXY001839</w:t>
            </w:r>
          </w:p>
          <w:p w14:paraId="03949B0B">
            <w:pPr>
              <w:spacing w:line="240" w:lineRule="auto"/>
              <w:rPr>
                <w:sz w:val="28"/>
                <w:szCs w:val="28"/>
              </w:rPr>
            </w:pPr>
            <w:r>
              <w:rPr>
                <w:rFonts w:ascii="方正黑体_GBK" w:hAnsi="方正黑体_GBK" w:eastAsia="方正黑体_GBK" w:cs="宋体"/>
                <w:sz w:val="22"/>
                <w:szCs w:val="22"/>
              </w:rPr>
              <w:t>G2份额：NYXY001840</w:t>
            </w:r>
          </w:p>
          <w:p w14:paraId="1C5E3D5C">
            <w:pPr>
              <w:spacing w:line="240" w:lineRule="auto"/>
              <w:rPr>
                <w:sz w:val="28"/>
                <w:szCs w:val="28"/>
              </w:rPr>
            </w:pPr>
            <w:r>
              <w:rPr>
                <w:rFonts w:ascii="方正黑体_GBK" w:hAnsi="方正黑体_GBK" w:eastAsia="方正黑体_GBK" w:cs="宋体"/>
                <w:sz w:val="22"/>
                <w:szCs w:val="22"/>
              </w:rPr>
              <w:t>H2份额：NYXY001841</w:t>
            </w:r>
          </w:p>
          <w:p w14:paraId="3BF438A5">
            <w:pPr>
              <w:spacing w:line="240" w:lineRule="auto"/>
              <w:rPr>
                <w:sz w:val="28"/>
                <w:szCs w:val="28"/>
              </w:rPr>
            </w:pPr>
            <w:r>
              <w:rPr>
                <w:rFonts w:ascii="方正黑体_GBK" w:hAnsi="方正黑体_GBK" w:eastAsia="方正黑体_GBK" w:cs="宋体"/>
                <w:sz w:val="22"/>
                <w:szCs w:val="22"/>
              </w:rPr>
              <w:t>I2份额：NYXY001853</w:t>
            </w:r>
          </w:p>
          <w:p w14:paraId="64423F71">
            <w:pPr>
              <w:spacing w:line="240" w:lineRule="auto"/>
              <w:rPr>
                <w:sz w:val="28"/>
                <w:szCs w:val="28"/>
              </w:rPr>
            </w:pPr>
            <w:r>
              <w:rPr>
                <w:rFonts w:ascii="方正黑体_GBK" w:hAnsi="方正黑体_GBK" w:eastAsia="方正黑体_GBK" w:cs="宋体"/>
                <w:sz w:val="22"/>
                <w:szCs w:val="22"/>
              </w:rPr>
              <w:t>Q份额：NYXY001328</w:t>
            </w:r>
          </w:p>
          <w:p w14:paraId="5AE01B1B">
            <w:pPr>
              <w:spacing w:line="240" w:lineRule="auto"/>
              <w:rPr>
                <w:sz w:val="28"/>
                <w:szCs w:val="28"/>
              </w:rPr>
            </w:pPr>
            <w:r>
              <w:rPr>
                <w:rFonts w:ascii="方正黑体_GBK" w:hAnsi="方正黑体_GBK" w:eastAsia="方正黑体_GBK" w:cs="宋体"/>
                <w:sz w:val="22"/>
                <w:szCs w:val="22"/>
              </w:rPr>
              <w:t>Q1份额：NYXY001329</w:t>
            </w:r>
          </w:p>
          <w:p w14:paraId="5B6F5DA9">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0F50D32C">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F88A4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24C91935">
            <w:pPr>
              <w:spacing w:line="240" w:lineRule="auto"/>
              <w:rPr>
                <w:sz w:val="28"/>
                <w:szCs w:val="28"/>
              </w:rPr>
            </w:pPr>
            <w:r>
              <w:rPr>
                <w:rFonts w:ascii="方正黑体_GBK" w:hAnsi="方正黑体_GBK" w:eastAsia="方正黑体_GBK" w:cs="宋体"/>
                <w:sz w:val="22"/>
                <w:szCs w:val="22"/>
              </w:rPr>
              <w:t>全国</w:t>
            </w:r>
          </w:p>
        </w:tc>
      </w:tr>
      <w:tr w14:paraId="11C0275B">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F18D5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720887B2">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5C0A809B">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22DB0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25AB0E35">
            <w:pPr>
              <w:spacing w:line="240" w:lineRule="auto"/>
              <w:rPr>
                <w:sz w:val="28"/>
                <w:szCs w:val="28"/>
              </w:rPr>
            </w:pPr>
            <w:r>
              <w:rPr>
                <w:rFonts w:ascii="方正黑体_GBK" w:hAnsi="方正黑体_GBK" w:eastAsia="方正黑体_GBK" w:cs="宋体"/>
                <w:sz w:val="22"/>
                <w:szCs w:val="22"/>
              </w:rPr>
              <w:t>本理财产品规模上限为100亿元。</w:t>
            </w:r>
          </w:p>
        </w:tc>
      </w:tr>
      <w:tr w14:paraId="51C11775">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8B029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66EE26B9">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66B1B630">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30D058BD">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66ABC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0BC2AC61">
            <w:pPr>
              <w:spacing w:line="240" w:lineRule="auto"/>
              <w:jc w:val="left"/>
              <w:rPr>
                <w:sz w:val="28"/>
                <w:szCs w:val="28"/>
              </w:rPr>
            </w:pPr>
            <w:r>
              <w:rPr>
                <w:rFonts w:ascii="方正黑体_GBK" w:hAnsi="方正黑体_GBK" w:eastAsia="方正黑体_GBK" w:cs="宋体"/>
                <w:sz w:val="22"/>
                <w:szCs w:val="22"/>
              </w:rPr>
              <w:t>符合相关法律法规、监管规定要求的，经销售机构的风险承受能力评估体系评定为适合的个人和机构投资者。</w:t>
            </w:r>
          </w:p>
          <w:p w14:paraId="2D197D96">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对公客户、拥军优属客户以外的其他客户）、北京农村商业银行股份有限公司、青岛银行股份有限公司（除私行客户外的其他客户）、江苏张家港农村商业银行股份有限公司、嘉兴银行股份有限公司（除私行客户外的其他客户）、江苏常熟农村商业银行股份有限公司、金华银行股份有限公司、长沙银行股份有限公司、广州农村商业银行股份有限公司、苏州银行股份有限公司、福建海峡银行股份有限公司、齐鲁银行股份有限公司（除白金/私行客户、财富客户外的其他客户）、北京银行股份有限公司、天津农村商业银行股份有限公司(除企业拓展客户、个人新客、私行客户和私钻客户外的其他客户)、德州银行股份有限公司、云南红塔银行股份有限公司、宁夏银行股份有限公司（1元起购）、九江银行股份有限公司、海南银行股份有限公司、廊坊银行股份有限公司、上海农村商业银行股份有限公司、富邦华一银行有限公司、湖州银行股份有限公司、海南农村商业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盐城农村商业银行股份有限公司（除代发客户外的其他客户）、江苏建湖农村商业银行股份有限公司、江苏东台农村商业银行股份有限公司、江苏溧水农村商业银行股份有限公司、江苏南通农村商业银行股份有限公司（除代发和机构客户外的其他客户）、江苏扬州农村商业银行股份有限公司、江苏淮安农村商业银行股份有限公司（除财富客户外的其他客户）、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w:t>
            </w:r>
          </w:p>
          <w:p w14:paraId="42991A4F">
            <w:pPr>
              <w:spacing w:line="240" w:lineRule="auto"/>
              <w:rPr>
                <w:sz w:val="28"/>
                <w:szCs w:val="28"/>
              </w:rPr>
            </w:pPr>
            <w:r>
              <w:rPr>
                <w:rFonts w:ascii="方正黑体_GBK" w:hAnsi="方正黑体_GBK" w:eastAsia="方正黑体_GBK" w:cs="宋体"/>
                <w:sz w:val="22"/>
                <w:szCs w:val="22"/>
              </w:rPr>
              <w:t>B份额：南京银行股份有限公司(新客新资金5万或代发客户)、青岛银行股份有限公司(私行客户)、徽商银行股份有限公司(除代发客户外的其他客户)、齐商银行股份有限公司、嘉兴银行股份有限公司（私行客户）、广州银行股份有限公司、江苏苏州农村商业银行股份有限公司（高客客户）、秦皇岛银行股份有限公司、宁波东海银行股份有限公司、齐鲁银行股份有限公司(白金/私行客户)、天津农村商业银行股份有限公司(企业拓展客户)、山西银行股份有限公司（拥军优享客户）、东营银行股份有限公司、宁波通商银行股份有限公司（除新客户外的其他客户）、江苏高淳农村商业银行股份有限公司、江苏新沂农村商业银行股份有限公司（1元起购）、江苏南通农村商业银行股份有限公司(代发客户)、江苏江都农村商业银行股份有限公司、江苏淮安农村商业银行股份有限公司(财富客户)、江苏大丰农村商业银行股份有限公司、江苏镇江农村商业银行股份有限公司( 20万元起购)、徐州农村商业银行股份有限公司(财富客户)、江苏紫金农村商业银行股份有限公司、江苏沛县农村商业银行股份有限公司（除财富客户外的其他客户）、江苏仪征农村商业银行股份有限公司( 20万元起购)、江苏泰州农村商业银行股份有限公司。</w:t>
            </w:r>
          </w:p>
          <w:p w14:paraId="67883119">
            <w:pPr>
              <w:spacing w:line="240" w:lineRule="auto"/>
              <w:rPr>
                <w:sz w:val="28"/>
                <w:szCs w:val="28"/>
              </w:rPr>
            </w:pPr>
            <w:r>
              <w:rPr>
                <w:rFonts w:ascii="方正黑体_GBK" w:hAnsi="方正黑体_GBK" w:eastAsia="方正黑体_GBK" w:cs="宋体"/>
                <w:sz w:val="22"/>
                <w:szCs w:val="22"/>
              </w:rPr>
              <w:t>C份额：南京银行股份有限公司(对公客户)、烟台银行股份有限公司、江苏苏州农村商业银行股份有限公司（新客客户）、郑州银行股份有限公司、日照银行股份有限公司（除私行客户外的其他客户）、齐鲁银行股份有限公司(财富客户)、天津农村商业银行股份有限公司(个人新客)、山西银行股份有限公司（新客户）、江苏泰兴农村商业银行股份有限公司（除代发客户外的其他客户）、江苏响水农村商业银行股份有限公司(50万元起购)、江苏靖江农村商业银行股份有限公司、江苏新沂农村商业银行股份有限公司（30万元起购）、江苏盐城农村商业银行股份有限公司（代发客户）、江苏南通农村商业银行股份有限公司(机构客户)、江苏兴化农村商业银行股份有限公司（除人民医院职工外的其他客户）、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(10万元起购)、江苏沛县农村商业银行股份有限公司（财富客户）、枣庄银行股份有限公司。</w:t>
            </w:r>
          </w:p>
          <w:p w14:paraId="568D91C9">
            <w:pPr>
              <w:spacing w:line="240" w:lineRule="auto"/>
              <w:rPr>
                <w:sz w:val="28"/>
                <w:szCs w:val="28"/>
              </w:rPr>
            </w:pPr>
            <w:r>
              <w:rPr>
                <w:rFonts w:ascii="方正黑体_GBK" w:hAnsi="方正黑体_GBK" w:eastAsia="方正黑体_GBK" w:cs="宋体"/>
                <w:sz w:val="22"/>
                <w:szCs w:val="22"/>
              </w:rPr>
              <w:t>L份额：日照银行股份有限公司（私行客户）、潍坊银行股份有限公司、泰安银行股份有限公司、天津农村商业银行股份有限公司(私钻客户)、宁波通商银行股份有限公司（新客户）、江苏兴化农村商业银行股份有限公司(人民医院职工客户)、江苏泰兴农村商业银行股份有限公司（代发客户）。</w:t>
            </w:r>
          </w:p>
          <w:p w14:paraId="173C1546">
            <w:pPr>
              <w:spacing w:line="240" w:lineRule="auto"/>
              <w:rPr>
                <w:sz w:val="28"/>
                <w:szCs w:val="28"/>
              </w:rPr>
            </w:pPr>
            <w:r>
              <w:rPr>
                <w:rFonts w:ascii="方正黑体_GBK" w:hAnsi="方正黑体_GBK" w:eastAsia="方正黑体_GBK" w:cs="宋体"/>
                <w:sz w:val="22"/>
                <w:szCs w:val="22"/>
              </w:rPr>
              <w:t>M份额：蒙商银行股份有限公司（除代发工资客户外的其他客户）。</w:t>
            </w:r>
          </w:p>
          <w:p w14:paraId="39CC9386">
            <w:pPr>
              <w:spacing w:line="240" w:lineRule="auto"/>
              <w:rPr>
                <w:sz w:val="28"/>
                <w:szCs w:val="28"/>
              </w:rPr>
            </w:pPr>
            <w:r>
              <w:rPr>
                <w:rFonts w:ascii="方正黑体_GBK" w:hAnsi="方正黑体_GBK" w:eastAsia="方正黑体_GBK" w:cs="宋体"/>
                <w:sz w:val="22"/>
                <w:szCs w:val="22"/>
              </w:rPr>
              <w:t>N份额：蒙商银行股份有限公司（代发工资客户）、吉林银行股份有限公司（新客户）。</w:t>
            </w:r>
          </w:p>
          <w:p w14:paraId="3C8EE6A3">
            <w:pPr>
              <w:spacing w:line="240" w:lineRule="auto"/>
              <w:rPr>
                <w:sz w:val="28"/>
                <w:szCs w:val="28"/>
              </w:rPr>
            </w:pPr>
            <w:r>
              <w:rPr>
                <w:rFonts w:ascii="方正黑体_GBK" w:hAnsi="方正黑体_GBK" w:eastAsia="方正黑体_GBK" w:cs="宋体"/>
                <w:sz w:val="22"/>
                <w:szCs w:val="22"/>
              </w:rPr>
              <w:t>O份额：吉林银行股份有限公司（除新客户外的其他客户）。</w:t>
            </w:r>
          </w:p>
          <w:p w14:paraId="027193AB">
            <w:pPr>
              <w:spacing w:line="240" w:lineRule="auto"/>
              <w:rPr>
                <w:sz w:val="28"/>
                <w:szCs w:val="28"/>
              </w:rPr>
            </w:pPr>
            <w:r>
              <w:rPr>
                <w:rFonts w:ascii="方正黑体_GBK" w:hAnsi="方正黑体_GBK" w:eastAsia="方正黑体_GBK" w:cs="宋体"/>
                <w:sz w:val="22"/>
                <w:szCs w:val="22"/>
              </w:rPr>
              <w:t>A2份额：朝阳银行股份有限公司。</w:t>
            </w:r>
          </w:p>
          <w:p w14:paraId="1A0A238D">
            <w:pPr>
              <w:spacing w:line="240" w:lineRule="auto"/>
              <w:rPr>
                <w:sz w:val="28"/>
                <w:szCs w:val="28"/>
              </w:rPr>
            </w:pPr>
            <w:r>
              <w:rPr>
                <w:rFonts w:ascii="方正黑体_GBK" w:hAnsi="方正黑体_GBK" w:eastAsia="方正黑体_GBK" w:cs="宋体"/>
                <w:sz w:val="22"/>
                <w:szCs w:val="22"/>
              </w:rPr>
              <w:t>E2份额：南京银行股份有限公司徐州分行（新客或新资金或代发客户）。</w:t>
            </w:r>
          </w:p>
          <w:p w14:paraId="1F618215">
            <w:pPr>
              <w:spacing w:line="240" w:lineRule="auto"/>
              <w:rPr>
                <w:sz w:val="28"/>
                <w:szCs w:val="28"/>
              </w:rPr>
            </w:pPr>
            <w:r>
              <w:rPr>
                <w:rFonts w:ascii="方正黑体_GBK" w:hAnsi="方正黑体_GBK" w:eastAsia="方正黑体_GBK" w:cs="宋体"/>
                <w:sz w:val="22"/>
                <w:szCs w:val="22"/>
              </w:rPr>
              <w:t>F2份额：温州银行股份有限公司。</w:t>
            </w:r>
          </w:p>
          <w:p w14:paraId="53978EE0">
            <w:pPr>
              <w:spacing w:line="240" w:lineRule="auto"/>
              <w:rPr>
                <w:sz w:val="28"/>
                <w:szCs w:val="28"/>
              </w:rPr>
            </w:pPr>
            <w:r>
              <w:rPr>
                <w:rFonts w:ascii="方正黑体_GBK" w:hAnsi="方正黑体_GBK" w:eastAsia="方正黑体_GBK" w:cs="宋体"/>
                <w:sz w:val="22"/>
                <w:szCs w:val="22"/>
              </w:rPr>
              <w:t>G2份额：宁夏银行股份有限公司（20万元起购）。</w:t>
            </w:r>
          </w:p>
          <w:p w14:paraId="52D8C09E">
            <w:pPr>
              <w:spacing w:line="240" w:lineRule="auto"/>
              <w:rPr>
                <w:sz w:val="28"/>
                <w:szCs w:val="28"/>
              </w:rPr>
            </w:pPr>
            <w:r>
              <w:rPr>
                <w:rFonts w:ascii="方正黑体_GBK" w:hAnsi="方正黑体_GBK" w:eastAsia="方正黑体_GBK" w:cs="宋体"/>
                <w:sz w:val="22"/>
                <w:szCs w:val="22"/>
              </w:rPr>
              <w:t>H2份额：南京银行股份有限公司(新客新资金 10 万客户)。</w:t>
            </w:r>
          </w:p>
          <w:p w14:paraId="17380068">
            <w:pPr>
              <w:spacing w:line="240" w:lineRule="auto"/>
              <w:rPr>
                <w:sz w:val="28"/>
                <w:szCs w:val="28"/>
              </w:rPr>
            </w:pPr>
            <w:r>
              <w:rPr>
                <w:rFonts w:ascii="方正黑体_GBK" w:hAnsi="方正黑体_GBK" w:eastAsia="方正黑体_GBK" w:cs="宋体"/>
                <w:sz w:val="22"/>
                <w:szCs w:val="22"/>
              </w:rPr>
              <w:t>I2份额：南京银行股份有限公司（拥军优属）。</w:t>
            </w:r>
          </w:p>
          <w:p w14:paraId="4A8EC072">
            <w:pPr>
              <w:spacing w:line="240" w:lineRule="auto"/>
              <w:rPr>
                <w:sz w:val="28"/>
                <w:szCs w:val="28"/>
              </w:rPr>
            </w:pPr>
            <w:r>
              <w:rPr>
                <w:rFonts w:ascii="方正黑体_GBK" w:hAnsi="方正黑体_GBK" w:eastAsia="方正黑体_GBK" w:cs="宋体"/>
                <w:sz w:val="22"/>
                <w:szCs w:val="22"/>
              </w:rPr>
              <w:t>Q份额：天津农村商业银行股份有限公司(私行客户)。</w:t>
            </w:r>
          </w:p>
          <w:p w14:paraId="5DBE8C4A">
            <w:pPr>
              <w:spacing w:line="240" w:lineRule="auto"/>
              <w:rPr>
                <w:sz w:val="28"/>
                <w:szCs w:val="28"/>
              </w:rPr>
            </w:pPr>
            <w:r>
              <w:rPr>
                <w:rFonts w:ascii="方正黑体_GBK" w:hAnsi="方正黑体_GBK" w:eastAsia="方正黑体_GBK" w:cs="宋体"/>
                <w:sz w:val="22"/>
                <w:szCs w:val="22"/>
              </w:rPr>
              <w:t>Q1份额：徽商银行股份有限公司（代发客户）。</w:t>
            </w:r>
          </w:p>
          <w:p w14:paraId="300908C5">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34BE4DAE">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新资金（10万）是指金融资产余额较上月月日均增长10万元及以上的客户。代发是指近90天内有过代发记录的客户（不含跨行代发、批量兑付、批量付息）。</w:t>
            </w:r>
          </w:p>
        </w:tc>
      </w:tr>
      <w:tr w14:paraId="0F9F5BD9">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55000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7B0E53F8">
            <w:pPr>
              <w:spacing w:line="240" w:lineRule="auto"/>
              <w:rPr>
                <w:sz w:val="28"/>
                <w:szCs w:val="28"/>
              </w:rPr>
            </w:pPr>
            <w:r>
              <w:rPr>
                <w:rFonts w:ascii="方正黑体_GBK" w:hAnsi="方正黑体_GBK" w:eastAsia="方正黑体_GBK" w:cs="宋体"/>
                <w:sz w:val="22"/>
                <w:szCs w:val="22"/>
              </w:rPr>
              <w:t>A份额/B份额/C份额/L份额/M份额/N份额/O份额/A2份额/E2份额/F2份额/H2份额/I2份额/Q份额/Q1份额：</w:t>
            </w:r>
          </w:p>
          <w:p w14:paraId="1CB35358">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4D4F4647">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4C6A5F48">
            <w:pPr>
              <w:spacing w:line="240" w:lineRule="auto"/>
              <w:rPr>
                <w:sz w:val="28"/>
                <w:szCs w:val="28"/>
              </w:rPr>
            </w:pPr>
            <w:r>
              <w:rPr>
                <w:rFonts w:ascii="方正黑体_GBK" w:hAnsi="方正黑体_GBK" w:eastAsia="方正黑体_GBK" w:cs="宋体"/>
                <w:sz w:val="22"/>
                <w:szCs w:val="22"/>
              </w:rPr>
              <w:t>G2份额：</w:t>
            </w:r>
          </w:p>
          <w:p w14:paraId="3A84AE87">
            <w:pPr>
              <w:spacing w:line="240" w:lineRule="auto"/>
              <w:rPr>
                <w:sz w:val="28"/>
                <w:szCs w:val="28"/>
              </w:rPr>
            </w:pPr>
            <w:r>
              <w:rPr>
                <w:rFonts w:ascii="方正黑体_GBK" w:hAnsi="方正黑体_GBK" w:eastAsia="方正黑体_GBK" w:cs="宋体"/>
                <w:sz w:val="22"/>
                <w:szCs w:val="22"/>
              </w:rPr>
              <w:t>个人投资者投资起点金额20万元人民币，以1元的整数倍递增；</w:t>
            </w:r>
          </w:p>
          <w:p w14:paraId="606735EA">
            <w:pPr>
              <w:spacing w:line="240" w:lineRule="auto"/>
              <w:rPr>
                <w:sz w:val="28"/>
                <w:szCs w:val="28"/>
              </w:rPr>
            </w:pPr>
            <w:r>
              <w:rPr>
                <w:rFonts w:ascii="方正黑体_GBK" w:hAnsi="方正黑体_GBK" w:eastAsia="方正黑体_GBK" w:cs="宋体"/>
                <w:sz w:val="22"/>
                <w:szCs w:val="22"/>
              </w:rPr>
              <w:t>机构投资者投资起点金额20万元人民币，以1元的整数倍递增；</w:t>
            </w:r>
          </w:p>
        </w:tc>
      </w:tr>
      <w:tr w14:paraId="58A32F73">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FC45DEB">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2BD33E39">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78E84D7C">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6B760471">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8B86DA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17EF324C">
            <w:pPr>
              <w:spacing w:line="240" w:lineRule="auto"/>
              <w:jc w:val="left"/>
              <w:rPr>
                <w:sz w:val="28"/>
                <w:szCs w:val="28"/>
              </w:rPr>
            </w:pPr>
            <w:r>
              <w:rPr>
                <w:rFonts w:ascii="方正黑体_GBK" w:hAnsi="方正黑体_GBK" w:eastAsia="方正黑体_GBK" w:cs="宋体"/>
                <w:color w:val="000000"/>
                <w:sz w:val="22"/>
                <w:szCs w:val="22"/>
              </w:rPr>
              <w:t>2026年08月12日 09:00—2026年08月18日 17:00</w:t>
            </w:r>
          </w:p>
        </w:tc>
      </w:tr>
      <w:tr w14:paraId="7A41F084">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3C705A7">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58EDA58D">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4FE3C547">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835495F">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7823B2E0">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056BD904">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FBEE9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084A54C1">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2026年08月19日</w:t>
            </w:r>
          </w:p>
        </w:tc>
      </w:tr>
      <w:tr w14:paraId="3A5104B5">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6AB58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7575AC68">
            <w:pPr>
              <w:spacing w:line="240" w:lineRule="auto"/>
              <w:rPr>
                <w:sz w:val="28"/>
                <w:szCs w:val="28"/>
              </w:rPr>
            </w:pPr>
            <w:r>
              <w:rPr>
                <w:rFonts w:ascii="方正黑体_GBK" w:hAnsi="方正黑体_GBK" w:eastAsia="方正黑体_GBK" w:cs="宋体"/>
                <w:sz w:val="22"/>
                <w:szCs w:val="22"/>
              </w:rPr>
              <w:t>2026年08月19日—实际到期日（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399天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AF3159D">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312E5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3EE020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2027年09月22日</w:t>
            </w:r>
          </w:p>
        </w:tc>
      </w:tr>
      <w:tr w14:paraId="3F3B28C0">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F52AE9B">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4A6A2A44">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6331F158">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467C6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39370209">
            <w:pPr>
              <w:spacing w:line="240" w:lineRule="auto"/>
              <w:rPr>
                <w:sz w:val="28"/>
                <w:szCs w:val="28"/>
              </w:rPr>
            </w:pPr>
            <w:r>
              <w:rPr>
                <w:rFonts w:ascii="方正黑体_GBK" w:hAnsi="方正黑体_GBK" w:eastAsia="方正黑体_GBK" w:cs="宋体"/>
                <w:sz w:val="22"/>
                <w:szCs w:val="22"/>
              </w:rPr>
              <w:t>本理财产品存续期间不进行分红。</w:t>
            </w:r>
          </w:p>
          <w:p w14:paraId="394C4974">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2B8A5A94">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C3B64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7BB9749C">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74612262">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1AB33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6465953B">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576CA83A">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177188B5">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45E79931">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45617B2F">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7A1E17EE">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27FBE73B">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3169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7F1B3265">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1CF64FB3">
            <w:pPr>
              <w:spacing w:line="240" w:lineRule="auto"/>
              <w:rPr>
                <w:sz w:val="28"/>
                <w:szCs w:val="28"/>
              </w:rPr>
            </w:pPr>
            <w:r>
              <w:rPr>
                <w:rFonts w:ascii="方正黑体_GBK" w:hAnsi="方正黑体_GBK" w:eastAsia="方正黑体_GBK" w:cs="宋体"/>
                <w:sz w:val="22"/>
                <w:szCs w:val="22"/>
              </w:rPr>
              <w:t>注：非因管理人主观因素导致突破上述比例限制的，管理人将在流动性受限资产可出售、可转让或者恢复交易的15个交易日内将投资比例调整至符合说明书约定的范围。</w:t>
            </w:r>
          </w:p>
        </w:tc>
      </w:tr>
      <w:tr w14:paraId="1F317A09">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FF3C3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018F4853">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0D92F2B0">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781FCDC">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50137D20">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08EB15EB">
            <w:pPr>
              <w:spacing w:line="240" w:lineRule="auto"/>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001478B3">
            <w:pPr>
              <w:spacing w:line="240" w:lineRule="auto"/>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6C2F3A7C">
            <w:pPr>
              <w:spacing w:line="240" w:lineRule="auto"/>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1441FA6E">
            <w:pPr>
              <w:spacing w:line="240" w:lineRule="auto"/>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3D66472B">
            <w:pPr>
              <w:spacing w:line="240" w:lineRule="auto"/>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7E3A641C">
            <w:pPr>
              <w:spacing w:line="240" w:lineRule="auto"/>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05693AFE">
            <w:pPr>
              <w:spacing w:line="240" w:lineRule="auto"/>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0AAE1F5E">
            <w:pPr>
              <w:spacing w:line="240" w:lineRule="auto"/>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40BD4A83">
            <w:pPr>
              <w:spacing w:line="240" w:lineRule="auto"/>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44278015">
            <w:pPr>
              <w:spacing w:line="240" w:lineRule="auto"/>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656DDF0D">
            <w:pPr>
              <w:spacing w:line="240" w:lineRule="auto"/>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58318254">
            <w:pPr>
              <w:spacing w:line="240" w:lineRule="auto"/>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2A215F39">
            <w:pPr>
              <w:spacing w:line="240" w:lineRule="auto"/>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0EC304FD">
            <w:pPr>
              <w:spacing w:line="240" w:lineRule="auto"/>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2CB1AB45">
            <w:pPr>
              <w:spacing w:line="240" w:lineRule="auto"/>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1CA80AA5">
            <w:pPr>
              <w:spacing w:line="240" w:lineRule="auto"/>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387909E8">
            <w:pPr>
              <w:spacing w:line="240" w:lineRule="auto"/>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2EC6E9C0">
            <w:pPr>
              <w:spacing w:line="240" w:lineRule="auto"/>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474F3DAD">
            <w:pPr>
              <w:spacing w:line="240" w:lineRule="auto"/>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224C3639">
            <w:pPr>
              <w:spacing w:line="240" w:lineRule="auto"/>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5CC575AE">
            <w:pPr>
              <w:spacing w:line="240" w:lineRule="auto"/>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71AD8081">
            <w:pPr>
              <w:spacing w:line="240" w:lineRule="auto"/>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5FE67528">
            <w:pPr>
              <w:spacing w:line="240" w:lineRule="auto"/>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55D3EEDA">
            <w:pPr>
              <w:spacing w:line="240" w:lineRule="auto"/>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4E804F82">
            <w:pPr>
              <w:spacing w:line="240" w:lineRule="auto"/>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52AE4161">
            <w:pPr>
              <w:spacing w:line="240" w:lineRule="auto"/>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5E60022B">
            <w:pPr>
              <w:spacing w:line="240" w:lineRule="auto"/>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380D4E8D">
            <w:pPr>
              <w:spacing w:line="240" w:lineRule="auto"/>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0E57C15D">
            <w:pPr>
              <w:spacing w:line="240" w:lineRule="auto"/>
              <w:rPr>
                <w:sz w:val="28"/>
                <w:szCs w:val="28"/>
              </w:rPr>
            </w:pPr>
            <w:r>
              <w:rPr>
                <w:rFonts w:ascii="方正黑体_GBK" w:hAnsi="方正黑体_GBK" w:eastAsia="方正黑体_GBK" w:cs="宋体"/>
                <w:b/>
                <w:sz w:val="22"/>
                <w:szCs w:val="22"/>
              </w:rPr>
              <w:t>以上资产剩余期限均不超过产品期限。</w:t>
            </w:r>
          </w:p>
          <w:p w14:paraId="5B4F9330">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1A4BEF70">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44151D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50091CA1">
            <w:pPr>
              <w:spacing w:line="240" w:lineRule="auto"/>
              <w:rPr>
                <w:sz w:val="28"/>
                <w:szCs w:val="28"/>
              </w:rPr>
            </w:pPr>
            <w:r>
              <w:rPr>
                <w:rFonts w:ascii="方正黑体_GBK" w:hAnsi="方正黑体_GBK" w:eastAsia="方正黑体_GBK" w:cs="宋体"/>
                <w:sz w:val="22"/>
                <w:szCs w:val="22"/>
              </w:rPr>
              <w:t>A份额：业绩比较基准为年化2.4%-2.65% 。</w:t>
            </w:r>
          </w:p>
          <w:p w14:paraId="24B0C427">
            <w:pPr>
              <w:spacing w:line="240" w:lineRule="auto"/>
              <w:rPr>
                <w:sz w:val="28"/>
                <w:szCs w:val="28"/>
              </w:rPr>
            </w:pPr>
            <w:r>
              <w:rPr>
                <w:rFonts w:ascii="方正黑体_GBK" w:hAnsi="方正黑体_GBK" w:eastAsia="方正黑体_GBK" w:cs="宋体"/>
                <w:sz w:val="22"/>
                <w:szCs w:val="22"/>
              </w:rPr>
              <w:t>B份额：业绩比较基准为年化2.5%-2.75% 。</w:t>
            </w:r>
          </w:p>
          <w:p w14:paraId="378E109B">
            <w:pPr>
              <w:spacing w:line="240" w:lineRule="auto"/>
              <w:rPr>
                <w:sz w:val="28"/>
                <w:szCs w:val="28"/>
              </w:rPr>
            </w:pPr>
            <w:r>
              <w:rPr>
                <w:rFonts w:ascii="方正黑体_GBK" w:hAnsi="方正黑体_GBK" w:eastAsia="方正黑体_GBK" w:cs="宋体"/>
                <w:sz w:val="22"/>
                <w:szCs w:val="22"/>
              </w:rPr>
              <w:t>C份额：业绩比较基准为年化2.6%-2.85% 。</w:t>
            </w:r>
          </w:p>
          <w:p w14:paraId="632980A2">
            <w:pPr>
              <w:spacing w:line="240" w:lineRule="auto"/>
              <w:rPr>
                <w:sz w:val="28"/>
                <w:szCs w:val="28"/>
              </w:rPr>
            </w:pPr>
            <w:r>
              <w:rPr>
                <w:rFonts w:ascii="方正黑体_GBK" w:hAnsi="方正黑体_GBK" w:eastAsia="方正黑体_GBK" w:cs="宋体"/>
                <w:sz w:val="22"/>
                <w:szCs w:val="22"/>
              </w:rPr>
              <w:t>L份额：业绩比较基准为年化2.65%-2.9% 。</w:t>
            </w:r>
          </w:p>
          <w:p w14:paraId="7921C98D">
            <w:pPr>
              <w:spacing w:line="240" w:lineRule="auto"/>
              <w:rPr>
                <w:sz w:val="28"/>
                <w:szCs w:val="28"/>
              </w:rPr>
            </w:pPr>
            <w:r>
              <w:rPr>
                <w:rFonts w:ascii="方正黑体_GBK" w:hAnsi="方正黑体_GBK" w:eastAsia="方正黑体_GBK" w:cs="宋体"/>
                <w:sz w:val="22"/>
                <w:szCs w:val="22"/>
              </w:rPr>
              <w:t>M份额：业绩比较基准为年化2.4%-2.65% 。</w:t>
            </w:r>
          </w:p>
          <w:p w14:paraId="35A4594B">
            <w:pPr>
              <w:spacing w:line="240" w:lineRule="auto"/>
              <w:rPr>
                <w:sz w:val="28"/>
                <w:szCs w:val="28"/>
              </w:rPr>
            </w:pPr>
            <w:r>
              <w:rPr>
                <w:rFonts w:ascii="方正黑体_GBK" w:hAnsi="方正黑体_GBK" w:eastAsia="方正黑体_GBK" w:cs="宋体"/>
                <w:sz w:val="22"/>
                <w:szCs w:val="22"/>
              </w:rPr>
              <w:t>N份额：业绩比较基准为年化2.6%-2.85% 。</w:t>
            </w:r>
          </w:p>
          <w:p w14:paraId="154823A3">
            <w:pPr>
              <w:spacing w:line="240" w:lineRule="auto"/>
              <w:rPr>
                <w:sz w:val="28"/>
                <w:szCs w:val="28"/>
              </w:rPr>
            </w:pPr>
            <w:r>
              <w:rPr>
                <w:rFonts w:ascii="方正黑体_GBK" w:hAnsi="方正黑体_GBK" w:eastAsia="方正黑体_GBK" w:cs="宋体"/>
                <w:sz w:val="22"/>
                <w:szCs w:val="22"/>
              </w:rPr>
              <w:t>O份额：业绩比较基准为年化2.5%-2.75% 。</w:t>
            </w:r>
          </w:p>
          <w:p w14:paraId="166F5801">
            <w:pPr>
              <w:spacing w:line="240" w:lineRule="auto"/>
              <w:rPr>
                <w:sz w:val="28"/>
                <w:szCs w:val="28"/>
              </w:rPr>
            </w:pPr>
            <w:r>
              <w:rPr>
                <w:rFonts w:ascii="方正黑体_GBK" w:hAnsi="方正黑体_GBK" w:eastAsia="方正黑体_GBK" w:cs="宋体"/>
                <w:sz w:val="22"/>
                <w:szCs w:val="22"/>
              </w:rPr>
              <w:t>A2份额：业绩比较基准为年化2.35%-2.6% 。</w:t>
            </w:r>
          </w:p>
          <w:p w14:paraId="0EAEE84A">
            <w:pPr>
              <w:spacing w:line="240" w:lineRule="auto"/>
              <w:rPr>
                <w:sz w:val="28"/>
                <w:szCs w:val="28"/>
              </w:rPr>
            </w:pPr>
            <w:r>
              <w:rPr>
                <w:rFonts w:ascii="方正黑体_GBK" w:hAnsi="方正黑体_GBK" w:eastAsia="方正黑体_GBK" w:cs="宋体"/>
                <w:sz w:val="22"/>
                <w:szCs w:val="22"/>
              </w:rPr>
              <w:t>E2份额：业绩比较基准为年化2.6%-2.85% 。</w:t>
            </w:r>
          </w:p>
          <w:p w14:paraId="637556C8">
            <w:pPr>
              <w:spacing w:line="240" w:lineRule="auto"/>
              <w:rPr>
                <w:sz w:val="28"/>
                <w:szCs w:val="28"/>
              </w:rPr>
            </w:pPr>
            <w:r>
              <w:rPr>
                <w:rFonts w:ascii="方正黑体_GBK" w:hAnsi="方正黑体_GBK" w:eastAsia="方正黑体_GBK" w:cs="宋体"/>
                <w:sz w:val="22"/>
                <w:szCs w:val="22"/>
              </w:rPr>
              <w:t>F2份额：业绩比较基准为年化2.45%-2.7% 。</w:t>
            </w:r>
          </w:p>
          <w:p w14:paraId="7D90DC42">
            <w:pPr>
              <w:spacing w:line="240" w:lineRule="auto"/>
              <w:rPr>
                <w:sz w:val="28"/>
                <w:szCs w:val="28"/>
              </w:rPr>
            </w:pPr>
            <w:r>
              <w:rPr>
                <w:rFonts w:ascii="方正黑体_GBK" w:hAnsi="方正黑体_GBK" w:eastAsia="方正黑体_GBK" w:cs="宋体"/>
                <w:sz w:val="22"/>
                <w:szCs w:val="22"/>
              </w:rPr>
              <w:t>G2份额：业绩比较基准为年化2.6%-2.85% 。</w:t>
            </w:r>
          </w:p>
          <w:p w14:paraId="073DC676">
            <w:pPr>
              <w:spacing w:line="240" w:lineRule="auto"/>
              <w:rPr>
                <w:sz w:val="28"/>
                <w:szCs w:val="28"/>
              </w:rPr>
            </w:pPr>
            <w:r>
              <w:rPr>
                <w:rFonts w:ascii="方正黑体_GBK" w:hAnsi="方正黑体_GBK" w:eastAsia="方正黑体_GBK" w:cs="宋体"/>
                <w:sz w:val="22"/>
                <w:szCs w:val="22"/>
              </w:rPr>
              <w:t>H2份额：业绩比较基准为年化2.6%-2.85% 。</w:t>
            </w:r>
          </w:p>
          <w:p w14:paraId="3A630D11">
            <w:pPr>
              <w:spacing w:line="240" w:lineRule="auto"/>
              <w:rPr>
                <w:sz w:val="28"/>
                <w:szCs w:val="28"/>
              </w:rPr>
            </w:pPr>
            <w:r>
              <w:rPr>
                <w:rFonts w:ascii="方正黑体_GBK" w:hAnsi="方正黑体_GBK" w:eastAsia="方正黑体_GBK" w:cs="宋体"/>
                <w:sz w:val="22"/>
                <w:szCs w:val="22"/>
              </w:rPr>
              <w:t>I2份额：业绩比较基准为年化2.5%-2.75% 。</w:t>
            </w:r>
          </w:p>
          <w:p w14:paraId="427DAD84">
            <w:pPr>
              <w:spacing w:line="240" w:lineRule="auto"/>
              <w:rPr>
                <w:sz w:val="28"/>
                <w:szCs w:val="28"/>
              </w:rPr>
            </w:pPr>
            <w:r>
              <w:rPr>
                <w:rFonts w:ascii="方正黑体_GBK" w:hAnsi="方正黑体_GBK" w:eastAsia="方正黑体_GBK" w:cs="宋体"/>
                <w:sz w:val="22"/>
                <w:szCs w:val="22"/>
              </w:rPr>
              <w:t>Q份额：业绩比较基准为年化2.55%-2.8% 。</w:t>
            </w:r>
          </w:p>
          <w:p w14:paraId="368B98EB">
            <w:pPr>
              <w:spacing w:line="240" w:lineRule="auto"/>
              <w:rPr>
                <w:sz w:val="28"/>
                <w:szCs w:val="28"/>
              </w:rPr>
            </w:pPr>
            <w:r>
              <w:rPr>
                <w:rFonts w:ascii="方正黑体_GBK" w:hAnsi="方正黑体_GBK" w:eastAsia="方正黑体_GBK" w:cs="宋体"/>
                <w:sz w:val="22"/>
                <w:szCs w:val="22"/>
              </w:rPr>
              <w:t>Q1份额：业绩比较基准为年化2.53%-2.78% 。</w:t>
            </w:r>
          </w:p>
          <w:p w14:paraId="409FB257">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297943E2">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202F7EDE">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150B3C1C">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C44712D">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52289AA2">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374416E3">
            <w:pPr>
              <w:spacing w:line="240" w:lineRule="auto"/>
              <w:rPr>
                <w:sz w:val="28"/>
                <w:szCs w:val="28"/>
              </w:rPr>
            </w:pPr>
            <w:r>
              <w:rPr>
                <w:rFonts w:ascii="方正黑体_GBK" w:hAnsi="方正黑体_GBK" w:eastAsia="方正黑体_GBK" w:cs="宋体"/>
                <w:b/>
                <w:sz w:val="22"/>
                <w:szCs w:val="22"/>
              </w:rPr>
              <w:t>赎回费：本理财产品暂不收取赎回费。</w:t>
            </w:r>
          </w:p>
          <w:p w14:paraId="52BEE891">
            <w:pPr>
              <w:spacing w:line="240" w:lineRule="auto"/>
              <w:rPr>
                <w:sz w:val="28"/>
                <w:szCs w:val="28"/>
              </w:rPr>
            </w:pPr>
            <w:r>
              <w:rPr>
                <w:rFonts w:ascii="方正黑体_GBK" w:hAnsi="方正黑体_GBK" w:eastAsia="方正黑体_GBK" w:cs="宋体"/>
                <w:b/>
                <w:sz w:val="22"/>
                <w:szCs w:val="22"/>
              </w:rPr>
              <w:t>销售费：</w:t>
            </w:r>
          </w:p>
          <w:p w14:paraId="296881E1">
            <w:pPr>
              <w:spacing w:line="240" w:lineRule="auto"/>
              <w:rPr>
                <w:sz w:val="28"/>
                <w:szCs w:val="28"/>
              </w:rPr>
            </w:pPr>
            <w:r>
              <w:rPr>
                <w:rFonts w:ascii="方正黑体_GBK" w:hAnsi="方正黑体_GBK" w:eastAsia="方正黑体_GBK" w:cs="宋体"/>
                <w:b/>
                <w:sz w:val="22"/>
                <w:szCs w:val="22"/>
              </w:rPr>
              <w:t>A份额：</w:t>
            </w:r>
          </w:p>
          <w:p w14:paraId="6BECE8EC">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15750523">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69D5C09A">
            <w:pPr>
              <w:spacing w:line="240" w:lineRule="auto"/>
              <w:rPr>
                <w:sz w:val="28"/>
                <w:szCs w:val="28"/>
              </w:rPr>
            </w:pPr>
            <w:r>
              <w:rPr>
                <w:rFonts w:ascii="方正黑体_GBK" w:hAnsi="方正黑体_GBK" w:eastAsia="方正黑体_GBK" w:cs="宋体"/>
                <w:b/>
                <w:sz w:val="22"/>
                <w:szCs w:val="22"/>
              </w:rPr>
              <w:t>B份额，I2份额：</w:t>
            </w:r>
          </w:p>
          <w:p w14:paraId="1D9B9FA6">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23536DD2">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2ED4312C">
            <w:pPr>
              <w:spacing w:line="240" w:lineRule="auto"/>
              <w:rPr>
                <w:sz w:val="28"/>
                <w:szCs w:val="28"/>
              </w:rPr>
            </w:pPr>
            <w:r>
              <w:rPr>
                <w:rFonts w:ascii="方正黑体_GBK" w:hAnsi="方正黑体_GBK" w:eastAsia="方正黑体_GBK" w:cs="宋体"/>
                <w:b/>
                <w:sz w:val="22"/>
                <w:szCs w:val="22"/>
              </w:rPr>
              <w:t>C份额，L份额，G2份额：</w:t>
            </w:r>
          </w:p>
          <w:p w14:paraId="6E02D495">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2EF4D071">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9885974">
            <w:pPr>
              <w:spacing w:line="240" w:lineRule="auto"/>
              <w:rPr>
                <w:sz w:val="28"/>
                <w:szCs w:val="28"/>
              </w:rPr>
            </w:pPr>
            <w:r>
              <w:rPr>
                <w:rFonts w:ascii="方正黑体_GBK" w:hAnsi="方正黑体_GBK" w:eastAsia="方正黑体_GBK" w:cs="宋体"/>
                <w:b/>
                <w:sz w:val="22"/>
                <w:szCs w:val="22"/>
              </w:rPr>
              <w:t>M份额：</w:t>
            </w:r>
          </w:p>
          <w:p w14:paraId="4A64F483">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4DF1DD2B">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0F230780">
            <w:pPr>
              <w:spacing w:line="240" w:lineRule="auto"/>
              <w:rPr>
                <w:sz w:val="28"/>
                <w:szCs w:val="28"/>
              </w:rPr>
            </w:pPr>
            <w:r>
              <w:rPr>
                <w:rFonts w:ascii="方正黑体_GBK" w:hAnsi="方正黑体_GBK" w:eastAsia="方正黑体_GBK" w:cs="宋体"/>
                <w:b/>
                <w:sz w:val="22"/>
                <w:szCs w:val="22"/>
              </w:rPr>
              <w:t>N份额：</w:t>
            </w:r>
          </w:p>
          <w:p w14:paraId="0D61E12E">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08710452">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60FC7602">
            <w:pPr>
              <w:spacing w:line="240" w:lineRule="auto"/>
              <w:rPr>
                <w:sz w:val="28"/>
                <w:szCs w:val="28"/>
              </w:rPr>
            </w:pPr>
            <w:r>
              <w:rPr>
                <w:rFonts w:ascii="方正黑体_GBK" w:hAnsi="方正黑体_GBK" w:eastAsia="方正黑体_GBK" w:cs="宋体"/>
                <w:b/>
                <w:sz w:val="22"/>
                <w:szCs w:val="22"/>
              </w:rPr>
              <w:t>O份额：</w:t>
            </w:r>
          </w:p>
          <w:p w14:paraId="2DE46E14">
            <w:pPr>
              <w:spacing w:line="240" w:lineRule="auto"/>
              <w:rPr>
                <w:sz w:val="28"/>
                <w:szCs w:val="28"/>
              </w:rPr>
            </w:pPr>
            <w:r>
              <w:rPr>
                <w:rFonts w:ascii="方正黑体_GBK" w:hAnsi="方正黑体_GBK" w:eastAsia="方正黑体_GBK" w:cs="宋体"/>
                <w:b/>
                <w:sz w:val="22"/>
                <w:szCs w:val="22"/>
              </w:rPr>
              <w:t>本理财产品一次性收取年化0.2%的销售费，按日摊销。</w:t>
            </w:r>
          </w:p>
          <w:p w14:paraId="1A44E8D1">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3A76423C">
            <w:pPr>
              <w:spacing w:line="240" w:lineRule="auto"/>
              <w:rPr>
                <w:sz w:val="28"/>
                <w:szCs w:val="28"/>
              </w:rPr>
            </w:pPr>
            <w:r>
              <w:rPr>
                <w:rFonts w:ascii="方正黑体_GBK" w:hAnsi="方正黑体_GBK" w:eastAsia="方正黑体_GBK" w:cs="宋体"/>
                <w:b/>
                <w:sz w:val="22"/>
                <w:szCs w:val="22"/>
              </w:rPr>
              <w:t>A2份额，F2份额：</w:t>
            </w:r>
          </w:p>
          <w:p w14:paraId="3A3726CF">
            <w:pPr>
              <w:spacing w:line="240" w:lineRule="auto"/>
              <w:rPr>
                <w:sz w:val="28"/>
                <w:szCs w:val="28"/>
              </w:rPr>
            </w:pPr>
            <w:r>
              <w:rPr>
                <w:rFonts w:ascii="方正黑体_GBK" w:hAnsi="方正黑体_GBK" w:eastAsia="方正黑体_GBK" w:cs="宋体"/>
                <w:b/>
                <w:sz w:val="22"/>
                <w:szCs w:val="22"/>
              </w:rPr>
              <w:t>本理财产品按前一日理财产品资产净值收取年化0.25%的销售费，按日计提。</w:t>
            </w:r>
          </w:p>
          <w:p w14:paraId="1248C515">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0078752B">
            <w:pPr>
              <w:spacing w:line="240" w:lineRule="auto"/>
              <w:rPr>
                <w:sz w:val="28"/>
                <w:szCs w:val="28"/>
              </w:rPr>
            </w:pPr>
            <w:r>
              <w:rPr>
                <w:rFonts w:ascii="方正黑体_GBK" w:hAnsi="方正黑体_GBK" w:eastAsia="方正黑体_GBK" w:cs="宋体"/>
                <w:b/>
                <w:sz w:val="22"/>
                <w:szCs w:val="22"/>
              </w:rPr>
              <w:t>E2份额，H2份额，Q份额：</w:t>
            </w:r>
          </w:p>
          <w:p w14:paraId="0F7C1A4A">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4885F50E">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5631BC9F">
            <w:pPr>
              <w:spacing w:line="240" w:lineRule="auto"/>
              <w:rPr>
                <w:sz w:val="28"/>
                <w:szCs w:val="28"/>
              </w:rPr>
            </w:pPr>
            <w:r>
              <w:rPr>
                <w:rFonts w:ascii="方正黑体_GBK" w:hAnsi="方正黑体_GBK" w:eastAsia="方正黑体_GBK" w:cs="宋体"/>
                <w:b/>
                <w:sz w:val="22"/>
                <w:szCs w:val="22"/>
              </w:rPr>
              <w:t>Q1份额：</w:t>
            </w:r>
          </w:p>
          <w:p w14:paraId="1E0F9A6F">
            <w:pPr>
              <w:spacing w:line="240" w:lineRule="auto"/>
              <w:rPr>
                <w:sz w:val="28"/>
                <w:szCs w:val="28"/>
              </w:rPr>
            </w:pPr>
            <w:r>
              <w:rPr>
                <w:rFonts w:ascii="方正黑体_GBK" w:hAnsi="方正黑体_GBK" w:eastAsia="方正黑体_GBK" w:cs="宋体"/>
                <w:b/>
                <w:sz w:val="22"/>
                <w:szCs w:val="22"/>
              </w:rPr>
              <w:t>本理财产品按前一日理财产品资产净值收取年化0.17%的销售费，按日计提。</w:t>
            </w:r>
          </w:p>
          <w:p w14:paraId="6701CF5C">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5512270D">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0315008E">
            <w:pPr>
              <w:spacing w:line="240" w:lineRule="auto"/>
              <w:rPr>
                <w:sz w:val="28"/>
                <w:szCs w:val="28"/>
              </w:rPr>
            </w:pPr>
            <w:r>
              <w:rPr>
                <w:rFonts w:ascii="方正黑体_GBK" w:hAnsi="方正黑体_GBK" w:eastAsia="方正黑体_GBK" w:cs="宋体"/>
                <w:b/>
                <w:sz w:val="22"/>
                <w:szCs w:val="22"/>
              </w:rPr>
              <w:t>A份额：固定管理费年化0.2%</w:t>
            </w:r>
          </w:p>
          <w:p w14:paraId="7E8019BF">
            <w:pPr>
              <w:spacing w:line="240" w:lineRule="auto"/>
              <w:rPr>
                <w:sz w:val="28"/>
                <w:szCs w:val="28"/>
              </w:rPr>
            </w:pPr>
            <w:r>
              <w:rPr>
                <w:rFonts w:ascii="方正黑体_GBK" w:hAnsi="方正黑体_GBK" w:eastAsia="方正黑体_GBK" w:cs="宋体"/>
                <w:b/>
                <w:sz w:val="22"/>
                <w:szCs w:val="22"/>
              </w:rPr>
              <w:t>B份额：固定管理费年化0.15%</w:t>
            </w:r>
          </w:p>
          <w:p w14:paraId="7AEFEC63">
            <w:pPr>
              <w:spacing w:line="240" w:lineRule="auto"/>
              <w:rPr>
                <w:sz w:val="28"/>
                <w:szCs w:val="28"/>
              </w:rPr>
            </w:pPr>
            <w:r>
              <w:rPr>
                <w:rFonts w:ascii="方正黑体_GBK" w:hAnsi="方正黑体_GBK" w:eastAsia="方正黑体_GBK" w:cs="宋体"/>
                <w:b/>
                <w:sz w:val="22"/>
                <w:szCs w:val="22"/>
              </w:rPr>
              <w:t>C份额：固定管理费年化0.15%</w:t>
            </w:r>
          </w:p>
          <w:p w14:paraId="52EFE78C">
            <w:pPr>
              <w:spacing w:line="240" w:lineRule="auto"/>
              <w:rPr>
                <w:sz w:val="28"/>
                <w:szCs w:val="28"/>
              </w:rPr>
            </w:pPr>
            <w:r>
              <w:rPr>
                <w:rFonts w:ascii="方正黑体_GBK" w:hAnsi="方正黑体_GBK" w:eastAsia="方正黑体_GBK" w:cs="宋体"/>
                <w:b/>
                <w:sz w:val="22"/>
                <w:szCs w:val="22"/>
              </w:rPr>
              <w:t>L份额：固定管理费年化0.1%</w:t>
            </w:r>
          </w:p>
          <w:p w14:paraId="3836FE28">
            <w:pPr>
              <w:spacing w:line="240" w:lineRule="auto"/>
              <w:rPr>
                <w:sz w:val="28"/>
                <w:szCs w:val="28"/>
              </w:rPr>
            </w:pPr>
            <w:r>
              <w:rPr>
                <w:rFonts w:ascii="方正黑体_GBK" w:hAnsi="方正黑体_GBK" w:eastAsia="方正黑体_GBK" w:cs="宋体"/>
                <w:b/>
                <w:sz w:val="22"/>
                <w:szCs w:val="22"/>
              </w:rPr>
              <w:t>M份额：固定管理费年化0.1%</w:t>
            </w:r>
          </w:p>
          <w:p w14:paraId="44B300BC">
            <w:pPr>
              <w:spacing w:line="240" w:lineRule="auto"/>
              <w:rPr>
                <w:sz w:val="28"/>
                <w:szCs w:val="28"/>
              </w:rPr>
            </w:pPr>
            <w:r>
              <w:rPr>
                <w:rFonts w:ascii="方正黑体_GBK" w:hAnsi="方正黑体_GBK" w:eastAsia="方正黑体_GBK" w:cs="宋体"/>
                <w:b/>
                <w:sz w:val="22"/>
                <w:szCs w:val="22"/>
              </w:rPr>
              <w:t>N份额：固定管理费年化0.1%</w:t>
            </w:r>
          </w:p>
          <w:p w14:paraId="17A093A1">
            <w:pPr>
              <w:spacing w:line="240" w:lineRule="auto"/>
              <w:rPr>
                <w:sz w:val="28"/>
                <w:szCs w:val="28"/>
              </w:rPr>
            </w:pPr>
            <w:r>
              <w:rPr>
                <w:rFonts w:ascii="方正黑体_GBK" w:hAnsi="方正黑体_GBK" w:eastAsia="方正黑体_GBK" w:cs="宋体"/>
                <w:b/>
                <w:sz w:val="22"/>
                <w:szCs w:val="22"/>
              </w:rPr>
              <w:t>O份额：固定管理费年化0.1%</w:t>
            </w:r>
          </w:p>
          <w:p w14:paraId="503B2588">
            <w:pPr>
              <w:spacing w:line="240" w:lineRule="auto"/>
              <w:rPr>
                <w:sz w:val="28"/>
                <w:szCs w:val="28"/>
              </w:rPr>
            </w:pPr>
            <w:r>
              <w:rPr>
                <w:rFonts w:ascii="方正黑体_GBK" w:hAnsi="方正黑体_GBK" w:eastAsia="方正黑体_GBK" w:cs="宋体"/>
                <w:b/>
                <w:sz w:val="22"/>
                <w:szCs w:val="22"/>
              </w:rPr>
              <w:t>A2份额：固定管理费年化0.2%</w:t>
            </w:r>
          </w:p>
          <w:p w14:paraId="493932AA">
            <w:pPr>
              <w:spacing w:line="240" w:lineRule="auto"/>
              <w:rPr>
                <w:sz w:val="28"/>
                <w:szCs w:val="28"/>
              </w:rPr>
            </w:pPr>
            <w:r>
              <w:rPr>
                <w:rFonts w:ascii="方正黑体_GBK" w:hAnsi="方正黑体_GBK" w:eastAsia="方正黑体_GBK" w:cs="宋体"/>
                <w:b/>
                <w:sz w:val="22"/>
                <w:szCs w:val="22"/>
              </w:rPr>
              <w:t>E2份额：固定管理费年化0.1%</w:t>
            </w:r>
          </w:p>
          <w:p w14:paraId="3A541FD2">
            <w:pPr>
              <w:spacing w:line="240" w:lineRule="auto"/>
              <w:rPr>
                <w:sz w:val="28"/>
                <w:szCs w:val="28"/>
              </w:rPr>
            </w:pPr>
            <w:r>
              <w:rPr>
                <w:rFonts w:ascii="方正黑体_GBK" w:hAnsi="方正黑体_GBK" w:eastAsia="方正黑体_GBK" w:cs="宋体"/>
                <w:b/>
                <w:sz w:val="22"/>
                <w:szCs w:val="22"/>
              </w:rPr>
              <w:t>F2份额：固定管理费年化0.1%</w:t>
            </w:r>
          </w:p>
          <w:p w14:paraId="1A10BB44">
            <w:pPr>
              <w:spacing w:line="240" w:lineRule="auto"/>
              <w:rPr>
                <w:sz w:val="28"/>
                <w:szCs w:val="28"/>
              </w:rPr>
            </w:pPr>
            <w:r>
              <w:rPr>
                <w:rFonts w:ascii="方正黑体_GBK" w:hAnsi="方正黑体_GBK" w:eastAsia="方正黑体_GBK" w:cs="宋体"/>
                <w:b/>
                <w:sz w:val="22"/>
                <w:szCs w:val="22"/>
              </w:rPr>
              <w:t>G2份额：固定管理费年化0.15%</w:t>
            </w:r>
          </w:p>
          <w:p w14:paraId="5B004800">
            <w:pPr>
              <w:spacing w:line="240" w:lineRule="auto"/>
              <w:rPr>
                <w:sz w:val="28"/>
                <w:szCs w:val="28"/>
              </w:rPr>
            </w:pPr>
            <w:r>
              <w:rPr>
                <w:rFonts w:ascii="方正黑体_GBK" w:hAnsi="方正黑体_GBK" w:eastAsia="方正黑体_GBK" w:cs="宋体"/>
                <w:b/>
                <w:sz w:val="22"/>
                <w:szCs w:val="22"/>
              </w:rPr>
              <w:t>H2份额：固定管理费年化0.1%</w:t>
            </w:r>
          </w:p>
          <w:p w14:paraId="1AB80520">
            <w:pPr>
              <w:spacing w:line="240" w:lineRule="auto"/>
              <w:rPr>
                <w:sz w:val="28"/>
                <w:szCs w:val="28"/>
              </w:rPr>
            </w:pPr>
            <w:r>
              <w:rPr>
                <w:rFonts w:ascii="方正黑体_GBK" w:hAnsi="方正黑体_GBK" w:eastAsia="方正黑体_GBK" w:cs="宋体"/>
                <w:b/>
                <w:sz w:val="22"/>
                <w:szCs w:val="22"/>
              </w:rPr>
              <w:t>I2份额：固定管理费年化0.15%</w:t>
            </w:r>
          </w:p>
          <w:p w14:paraId="12AFC252">
            <w:pPr>
              <w:spacing w:line="240" w:lineRule="auto"/>
              <w:rPr>
                <w:sz w:val="28"/>
                <w:szCs w:val="28"/>
              </w:rPr>
            </w:pPr>
            <w:r>
              <w:rPr>
                <w:rFonts w:ascii="方正黑体_GBK" w:hAnsi="方正黑体_GBK" w:eastAsia="方正黑体_GBK" w:cs="宋体"/>
                <w:b/>
                <w:sz w:val="22"/>
                <w:szCs w:val="22"/>
              </w:rPr>
              <w:t>Q份额：固定管理费年化0.15%</w:t>
            </w:r>
          </w:p>
          <w:p w14:paraId="2D121652">
            <w:pPr>
              <w:spacing w:line="240" w:lineRule="auto"/>
              <w:rPr>
                <w:sz w:val="28"/>
                <w:szCs w:val="28"/>
              </w:rPr>
            </w:pPr>
            <w:r>
              <w:rPr>
                <w:rFonts w:ascii="方正黑体_GBK" w:hAnsi="方正黑体_GBK" w:eastAsia="方正黑体_GBK" w:cs="宋体"/>
                <w:b/>
                <w:sz w:val="22"/>
                <w:szCs w:val="22"/>
              </w:rPr>
              <w:t>Q1份额：固定管理费年化0.1%</w:t>
            </w:r>
          </w:p>
          <w:p w14:paraId="64461A78">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42903AF5">
            <w:pPr>
              <w:spacing w:line="240" w:lineRule="auto"/>
              <w:rPr>
                <w:sz w:val="28"/>
                <w:szCs w:val="28"/>
              </w:rPr>
            </w:pPr>
            <w:r>
              <w:rPr>
                <w:rFonts w:ascii="方正黑体_GBK" w:hAnsi="方正黑体_GBK" w:eastAsia="方正黑体_GBK" w:cs="宋体"/>
                <w:b/>
                <w:sz w:val="22"/>
                <w:szCs w:val="22"/>
              </w:rPr>
              <w:t>托管费：</w:t>
            </w:r>
          </w:p>
          <w:p w14:paraId="71DDB3C5">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0E9B90E1">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62FD5691">
            <w:pPr>
              <w:spacing w:line="240" w:lineRule="auto"/>
              <w:rPr>
                <w:sz w:val="28"/>
                <w:szCs w:val="28"/>
              </w:rPr>
            </w:pPr>
            <w:r>
              <w:rPr>
                <w:rFonts w:ascii="方正黑体_GBK" w:hAnsi="方正黑体_GBK" w:eastAsia="方正黑体_GBK" w:cs="宋体"/>
                <w:b/>
                <w:sz w:val="22"/>
                <w:szCs w:val="22"/>
              </w:rPr>
              <w:t>业绩报酬：</w:t>
            </w:r>
          </w:p>
          <w:p w14:paraId="7C11AE14">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5D74D6CE">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599C757F">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7A639096">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在2.65%（含）（年化，即产品该份额对应的业绩报酬计提基准）至2.9%（不含）之间的部分，管理人将按超过2.65%部分的50%收取业绩报酬；在2.9%（含）（年化，即产品该份额对应的业绩报酬计提基准）以上的部分，管理人将按超过2.9%部分的60%收取业绩报酬。</w:t>
            </w:r>
          </w:p>
          <w:p w14:paraId="01A9FCC6">
            <w:pPr>
              <w:spacing w:line="240" w:lineRule="auto"/>
              <w:rPr>
                <w:sz w:val="28"/>
                <w:szCs w:val="28"/>
              </w:rPr>
            </w:pPr>
            <w:r>
              <w:rPr>
                <w:rFonts w:ascii="方正黑体_GBK" w:hAnsi="方正黑体_GBK" w:eastAsia="方正黑体_GBK" w:cs="宋体"/>
                <w:b/>
                <w:sz w:val="22"/>
                <w:szCs w:val="22"/>
              </w:rPr>
              <w:t>M份额：到期兑付时，当期产品投资的实际资产组合收益（扣除销售费、固定管理费、托管费等相关费用）在2.4%（含）（年化，即产品该份额对应的业绩报酬计提基准）至2.65%（不含）之间的部分，管理人将按超过2.4%部分的50%收取业绩报酬；在2.65%（含）（年化，即产品该份额对应的业绩报酬计提基准）以上的部分，管理人将按超过2.65%部分的60%收取业绩报酬。</w:t>
            </w:r>
          </w:p>
          <w:p w14:paraId="18AD01A1">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624DC6A0">
            <w:pPr>
              <w:spacing w:line="240" w:lineRule="auto"/>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6DE66F75">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在2.35%（含）（年化，即产品该份额对应的业绩报酬计提基准）至2.6%（不含）之间的部分，管理人将按超过2.35%部分的50%收取业绩报酬；在2.6%（含）（年化，即产品该份额对应的业绩报酬计提基准）以上的部分，管理人将按超过2.6%部分的60%收取业绩报酬。</w:t>
            </w:r>
          </w:p>
          <w:p w14:paraId="10BABA35">
            <w:pPr>
              <w:spacing w:line="240" w:lineRule="auto"/>
              <w:rPr>
                <w:sz w:val="28"/>
                <w:szCs w:val="28"/>
              </w:rPr>
            </w:pPr>
            <w:r>
              <w:rPr>
                <w:rFonts w:ascii="方正黑体_GBK" w:hAnsi="方正黑体_GBK" w:eastAsia="方正黑体_GBK" w:cs="宋体"/>
                <w:b/>
                <w:sz w:val="22"/>
                <w:szCs w:val="22"/>
              </w:rPr>
              <w:t>E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58AA6241">
            <w:pPr>
              <w:spacing w:line="240" w:lineRule="auto"/>
              <w:rPr>
                <w:sz w:val="28"/>
                <w:szCs w:val="28"/>
              </w:rPr>
            </w:pPr>
            <w:r>
              <w:rPr>
                <w:rFonts w:ascii="方正黑体_GBK" w:hAnsi="方正黑体_GBK" w:eastAsia="方正黑体_GBK" w:cs="宋体"/>
                <w:b/>
                <w:sz w:val="22"/>
                <w:szCs w:val="22"/>
              </w:rPr>
              <w:t>F2份额：到期兑付时，当期产品投资的实际资产组合收益（扣除销售费、固定管理费、托管费等相关费用）在2.45%（含）（年化，即产品该份额对应的业绩报酬计提基准）至2.7%（不含）之间的部分，管理人将按超过2.45%部分的50%收取业绩报酬；在2.7%（含）（年化，即产品该份额对应的业绩报酬计提基准）以上的部分，管理人将按超过2.7%部分的60%收取业绩报酬。</w:t>
            </w:r>
          </w:p>
          <w:p w14:paraId="651E9359">
            <w:pPr>
              <w:spacing w:line="240" w:lineRule="auto"/>
              <w:rPr>
                <w:sz w:val="28"/>
                <w:szCs w:val="28"/>
              </w:rPr>
            </w:pPr>
            <w:r>
              <w:rPr>
                <w:rFonts w:ascii="方正黑体_GBK" w:hAnsi="方正黑体_GBK" w:eastAsia="方正黑体_GBK" w:cs="宋体"/>
                <w:b/>
                <w:sz w:val="22"/>
                <w:szCs w:val="22"/>
              </w:rPr>
              <w:t>G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186D3E11">
            <w:pPr>
              <w:spacing w:line="240" w:lineRule="auto"/>
              <w:rPr>
                <w:sz w:val="28"/>
                <w:szCs w:val="28"/>
              </w:rPr>
            </w:pPr>
            <w:r>
              <w:rPr>
                <w:rFonts w:ascii="方正黑体_GBK" w:hAnsi="方正黑体_GBK" w:eastAsia="方正黑体_GBK" w:cs="宋体"/>
                <w:b/>
                <w:sz w:val="22"/>
                <w:szCs w:val="22"/>
              </w:rPr>
              <w:t>H2份额：到期兑付时，当期产品投资的实际资产组合收益（扣除销售费、固定管理费、托管费等相关费用）在2.6%（含）（年化，即产品该份额对应的业绩报酬计提基准）至2.85%（不含）之间的部分，管理人将按超过2.6%部分的50%收取业绩报酬；在2.85%（含）（年化，即产品该份额对应的业绩报酬计提基准）以上的部分，管理人将按超过2.85%部分的60%收取业绩报酬。</w:t>
            </w:r>
          </w:p>
          <w:p w14:paraId="3CF4B24D">
            <w:pPr>
              <w:spacing w:line="240" w:lineRule="auto"/>
              <w:rPr>
                <w:sz w:val="28"/>
                <w:szCs w:val="28"/>
              </w:rPr>
            </w:pPr>
            <w:r>
              <w:rPr>
                <w:rFonts w:ascii="方正黑体_GBK" w:hAnsi="方正黑体_GBK" w:eastAsia="方正黑体_GBK" w:cs="宋体"/>
                <w:b/>
                <w:sz w:val="22"/>
                <w:szCs w:val="22"/>
              </w:rPr>
              <w:t>I2份额：到期兑付时，当期产品投资的实际资产组合收益（扣除销售费、固定管理费、托管费等相关费用）在2.5%（含）（年化，即产品该份额对应的业绩报酬计提基准）至2.75%（不含）之间的部分，管理人将按超过2.5%部分的50%收取业绩报酬；在2.75%（含）（年化，即产品该份额对应的业绩报酬计提基准）以上的部分，管理人将按超过2.75%部分的60%收取业绩报酬。</w:t>
            </w:r>
          </w:p>
          <w:p w14:paraId="73DF4499">
            <w:pPr>
              <w:spacing w:line="240" w:lineRule="auto"/>
              <w:rPr>
                <w:sz w:val="28"/>
                <w:szCs w:val="28"/>
              </w:rPr>
            </w:pPr>
            <w:r>
              <w:rPr>
                <w:rFonts w:ascii="方正黑体_GBK" w:hAnsi="方正黑体_GBK" w:eastAsia="方正黑体_GBK" w:cs="宋体"/>
                <w:b/>
                <w:sz w:val="22"/>
                <w:szCs w:val="22"/>
              </w:rPr>
              <w:t>Q份额：到期兑付时，当期产品投资的实际资产组合收益（扣除销售费、固定管理费、托管费等相关费用）在2.55%（含）（年化，即产品该份额对应的业绩报酬计提基准）至2.8%（不含）之间的部分，管理人将按超过2.55%部分的50%收取业绩报酬；在2.8%（含）（年化，即产品该份额对应的业绩报酬计提基准）以上的部分，管理人将按超过2.8%部分的60%收取业绩报酬。</w:t>
            </w:r>
          </w:p>
          <w:p w14:paraId="173633F5">
            <w:pPr>
              <w:spacing w:line="240" w:lineRule="auto"/>
              <w:rPr>
                <w:sz w:val="28"/>
                <w:szCs w:val="28"/>
              </w:rPr>
            </w:pPr>
            <w:r>
              <w:rPr>
                <w:rFonts w:ascii="方正黑体_GBK" w:hAnsi="方正黑体_GBK" w:eastAsia="方正黑体_GBK" w:cs="宋体"/>
                <w:b/>
                <w:sz w:val="22"/>
                <w:szCs w:val="22"/>
              </w:rPr>
              <w:t>Q1份额：到期兑付时，当期产品投资的实际资产组合收益（扣除销售费、固定管理费、托管费等相关费用）在2.53%（含）（年化，即产品该份额对应的业绩报酬计提基准）至2.78%（不含）之间的部分，管理人将按超过2.53%部分的50%收取业绩报酬；在2.78%（含）（年化，即产品该份额对应的业绩报酬计提基准）以上的部分，管理人将按超过2.78%部分的60%收取业绩报酬。</w:t>
            </w:r>
          </w:p>
          <w:p w14:paraId="570EDF54">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07EE528C">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68072DB8">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7DB1CFD6">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61F4D031">
            <w:pPr>
              <w:spacing w:line="240" w:lineRule="auto"/>
              <w:rPr>
                <w:sz w:val="28"/>
                <w:szCs w:val="28"/>
              </w:rPr>
            </w:pPr>
            <w:r>
              <w:rPr>
                <w:rFonts w:ascii="方正黑体_GBK" w:hAnsi="方正黑体_GBK" w:eastAsia="方正黑体_GBK" w:cs="宋体"/>
                <w:b/>
                <w:sz w:val="22"/>
                <w:szCs w:val="22"/>
              </w:rPr>
              <w:t>计算本区间业绩报酬的公式如下：</w:t>
            </w:r>
          </w:p>
          <w:p w14:paraId="0E6007B9">
            <w:pPr>
              <w:spacing w:line="240" w:lineRule="auto"/>
              <w:rPr>
                <w:sz w:val="28"/>
                <w:szCs w:val="28"/>
              </w:rPr>
            </w:pPr>
            <w:r>
              <w:rPr>
                <w:rFonts w:ascii="方正黑体_GBK" w:hAnsi="方正黑体_GBK" w:eastAsia="方正黑体_GBK" w:cs="宋体"/>
                <w:b/>
                <w:sz w:val="22"/>
                <w:szCs w:val="22"/>
              </w:rPr>
              <w:t>A={B-C*D*(1+E*F/365)}*G。</w:t>
            </w:r>
          </w:p>
          <w:p w14:paraId="0CBE7087">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532641B6">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2C48E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385EA1B0">
            <w:pPr>
              <w:spacing w:line="240" w:lineRule="auto"/>
              <w:rPr>
                <w:sz w:val="28"/>
                <w:szCs w:val="28"/>
              </w:rPr>
            </w:pPr>
            <w:r>
              <w:rPr>
                <w:rFonts w:ascii="方正黑体_GBK" w:hAnsi="方正黑体_GBK" w:eastAsia="方正黑体_GBK" w:cs="宋体"/>
                <w:sz w:val="22"/>
                <w:szCs w:val="22"/>
              </w:rPr>
              <w:t>具体详见本理财产品风险揭示书。</w:t>
            </w:r>
          </w:p>
        </w:tc>
      </w:tr>
      <w:tr w14:paraId="4C32A9D5">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4EC8C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57A4804A">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亿元人民币。住所：江苏省南京市建邺区庐山路242号2号楼14-16层，联系方式：025-83642111。</w:t>
            </w:r>
          </w:p>
          <w:p w14:paraId="2450FDF3">
            <w:pPr>
              <w:spacing w:line="240" w:lineRule="auto"/>
              <w:jc w:val="left"/>
              <w:rPr>
                <w:sz w:val="28"/>
                <w:szCs w:val="28"/>
              </w:rPr>
            </w:pPr>
            <w:r>
              <w:rPr>
                <w:rFonts w:ascii="方正黑体_GBK" w:hAnsi="方正黑体_GBK" w:eastAsia="方正黑体_GBK" w:cs="宋体"/>
                <w:sz w:val="22"/>
                <w:szCs w:val="22"/>
              </w:rPr>
              <w:t>管理人主要职责如下：</w:t>
            </w:r>
          </w:p>
          <w:p w14:paraId="5F60387C">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17817FFF">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4B8D0A68">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401ABCEF">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21F4FEDC">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0CD20E3C">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6626C01E">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7FD9D7B4">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ACCAA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4B8CAF65">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青岛银行股份有限公司、齐商银行股份有限公司、嘉兴银行股份有限公司、江苏常熟农村商业银行股份有限公司、江苏苏州农村商业银行股份有限公司、长沙银行股份有限公司、福建海峡银行股份有限公司、秦皇岛银行股份有限公司、泰安银行股份有限公司、宁波东海银行股份有限公司、齐鲁银行股份有限公司、云南红塔银行股份有限公司、九江银行股份有限公司、宁夏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富邦华一银行有限公司、宁波通商银行股份有限公司、日照银行股份有限公司、广州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盐城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枣庄银行股份有限公司、海南银行股份有限公司、江苏丰县农村商业银行股份有限公司、江苏射阳农村商业银行股份有限公司、江苏句容农村商业银行股份有限公司、烟台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廊坊银行股份有限公司、徽商银行股份有限公司、郑州银行股份有限公司、江苏姜堰农村商业银行股份有限公司、山西银行股份有限公司、江苏如东农村商业银行股份有限公司、北京银行股份有限公司、江苏赣榆农村商业银行股份有限公司、江苏盱眙农村商业银行股份有限公司、东营银行股份有限公司、江苏沛县农村商业银行股份有限公司、潍坊银行股份有限公司、江苏仪征农村商业银行股份有限公司、金华银行股份有限公司、吉林银行股份有限公司、连云港东方农村商业银行股份有限公司、德州银行股份有限公司、北京农村商业银行股份有限公司、上海农村商业银行股份有限公司、江苏沭阳农村商业银行股份有限公司、海南农村商业银行股份有限公司、湖州银行股份有限公司、江苏灌云农村商业银行股份有限公司、广州农村商业银行股份有限公司、江苏泰州农村商业银行股份有限公司、朝阳银行股份有限公司。销售机构基本信息详见第五条。</w:t>
            </w:r>
          </w:p>
          <w:p w14:paraId="14535C2B">
            <w:pPr>
              <w:spacing w:line="240" w:lineRule="auto"/>
              <w:jc w:val="left"/>
              <w:rPr>
                <w:sz w:val="28"/>
                <w:szCs w:val="28"/>
              </w:rPr>
            </w:pPr>
            <w:r>
              <w:rPr>
                <w:rFonts w:ascii="方正黑体_GBK" w:hAnsi="方正黑体_GBK" w:eastAsia="方正黑体_GBK" w:cs="宋体"/>
                <w:sz w:val="22"/>
                <w:szCs w:val="22"/>
              </w:rPr>
              <w:t>销售机构主要职责如下：</w:t>
            </w:r>
          </w:p>
          <w:p w14:paraId="3BFF27CB">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54479A32">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5D082036">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15FBCCF4">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358A527D">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5E343A40">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68317255">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23E316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3A5B5015">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00ACD1D6">
            <w:pPr>
              <w:spacing w:line="240" w:lineRule="auto"/>
              <w:rPr>
                <w:sz w:val="28"/>
                <w:szCs w:val="28"/>
              </w:rPr>
            </w:pPr>
            <w:r>
              <w:rPr>
                <w:rFonts w:ascii="方正黑体_GBK" w:hAnsi="方正黑体_GBK" w:eastAsia="方正黑体_GBK" w:cs="宋体"/>
                <w:sz w:val="22"/>
                <w:szCs w:val="22"/>
              </w:rPr>
              <w:t>主要职责如下：</w:t>
            </w:r>
          </w:p>
          <w:p w14:paraId="568FAB5F">
            <w:pPr>
              <w:spacing w:line="240" w:lineRule="auto"/>
              <w:rPr>
                <w:sz w:val="28"/>
                <w:szCs w:val="28"/>
              </w:rPr>
            </w:pPr>
            <w:r>
              <w:rPr>
                <w:rFonts w:ascii="方正黑体_GBK" w:hAnsi="方正黑体_GBK" w:eastAsia="方正黑体_GBK" w:cs="宋体"/>
                <w:sz w:val="22"/>
                <w:szCs w:val="22"/>
              </w:rPr>
              <w:t>1.安全保管理财产品财产；</w:t>
            </w:r>
          </w:p>
          <w:p w14:paraId="326E0705">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5E45A066">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5B77BA92">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26CFC7BB">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431D8B33">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76562FD9">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1437170F">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0A9BC62C">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7B4C4842">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A3445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0BA3C527">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国对外经济贸易信托有限公司、中粮信托有限责任公司、中信信托有限责任公司、鑫元基金管理有限公司，上述投资合作机构主要职责对应如下，具体职责以管理人与投资合作机构签署的合同为准。</w:t>
            </w:r>
          </w:p>
          <w:p w14:paraId="1D1E1114">
            <w:pPr>
              <w:spacing w:line="240" w:lineRule="auto"/>
              <w:rPr>
                <w:sz w:val="28"/>
                <w:szCs w:val="28"/>
              </w:rPr>
            </w:pPr>
            <w:r>
              <w:rPr>
                <w:rFonts w:ascii="方正黑体_GBK" w:hAnsi="方正黑体_GBK" w:eastAsia="方正黑体_GBK" w:cs="宋体"/>
                <w:sz w:val="22"/>
                <w:szCs w:val="22"/>
              </w:rPr>
              <w:t>合作机构为从事理财产品受托投资的机构，主要承担根据合同约定进行受托资金的投资管理的职责：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国对外经济贸易信托有限公司、中粮信托有限责任公司、中信信托有限责任公司、鑫元基金管理有限公司。</w:t>
            </w:r>
          </w:p>
          <w:p w14:paraId="0DA2C0AF">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660EB63A">
            <w:pPr>
              <w:spacing w:line="240" w:lineRule="auto"/>
              <w:rPr>
                <w:sz w:val="28"/>
                <w:szCs w:val="28"/>
              </w:rPr>
            </w:pPr>
            <w:r>
              <w:rPr>
                <w:rFonts w:ascii="方正黑体_GBK" w:hAnsi="方正黑体_GBK" w:eastAsia="方正黑体_GBK" w:cs="宋体"/>
                <w:sz w:val="22"/>
                <w:szCs w:val="22"/>
              </w:rPr>
              <w:t>上述投资合作机构简介：</w:t>
            </w:r>
          </w:p>
          <w:p w14:paraId="2F10C108">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70D89688">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436142E3">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46EAD60E">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5AFFD805">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58B03054">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3B8A6F83">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5C65A9A7">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65BA1E5E">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65862196">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7B72633F">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7B92AB6E">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31F525A7">
            <w:pPr>
              <w:spacing w:line="240" w:lineRule="auto"/>
              <w:rPr>
                <w:sz w:val="28"/>
                <w:szCs w:val="28"/>
              </w:rPr>
            </w:pPr>
            <w:r>
              <w:rPr>
                <w:rFonts w:ascii="方正黑体_GBK" w:hAnsi="方正黑体_GBK" w:eastAsia="方正黑体_GBK" w:cs="宋体"/>
                <w:sz w:val="22"/>
                <w:szCs w:val="22"/>
              </w:rPr>
              <w:t>中国对外经济贸易信托有限公司成立于1987年09月30日，注册资本金800000万元人民币。</w:t>
            </w:r>
          </w:p>
          <w:p w14:paraId="57E87750">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6B608432">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6E219CF3">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1B137A6B">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90573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04D9D87E">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6F261319">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0F0F0EA4">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1CE2F215">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1B20FF24">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AFBE8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2EA01EDB">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56264D24">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05451F93">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1C47E8F9">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5220284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0C7595A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03DC22EC">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6C8FF08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0D2416EF">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3B3CF7A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023F660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589E67FA">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2257010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57580BB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1F1C523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7B8370D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720D218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7463E1A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1A8E6AA9">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30E02D4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20E51DF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4873DFA5">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3A22A21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778ADCF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7A75B36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5A845D1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6706D7F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2327A50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38C188D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5009BA8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7F0737B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7ADFB9D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0ED2BD50">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3D2F8CA4">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南银理财珠联璧合鑫逸稳一年290期封闭式公募人民币理财产品</w:t>
      </w:r>
      <w:r>
        <w:rPr>
          <w:rFonts w:hint="eastAsia" w:ascii="方正黑体_GBK" w:hAnsi="方正黑体_GBK" w:eastAsia="方正黑体_GBK"/>
          <w:vanish w:val="0"/>
          <w:color w:val="3D3D3D"/>
          <w:kern w:val="0"/>
          <w:sz w:val="20"/>
          <w:szCs w:val="20"/>
        </w:rPr>
        <w:t>。</w:t>
      </w:r>
    </w:p>
    <w:p w14:paraId="1601DCE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7EF0466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545DEC6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1F94CB7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31606929">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51D151B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7B0D2F3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7513DD4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507F24F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545F000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77A420A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7F0ACE7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785BDD8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4746FA5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7EAE5D1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4713835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34DED85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2CBA8DC9">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7531E823">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6800A400">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19ECE265">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762A492D">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2447AE10">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2BD36BE2">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75F2D72F">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0B92A12C">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72668335">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3E2280EF">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31C9A1B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1DF20468">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7A40A785">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1EF793F3">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3C3C0490">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2C0C474C">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52A907AD">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47E1B213">
      <w:pPr>
        <w:spacing w:line="240" w:lineRule="auto"/>
        <w:ind w:firstLine="300"/>
        <w:jc w:val="both"/>
        <w:rPr>
          <w:sz w:val="28"/>
          <w:szCs w:val="28"/>
        </w:rPr>
      </w:pPr>
      <w:r>
        <w:rPr>
          <w:rFonts w:ascii="方正黑体_GBK" w:hAnsi="方正黑体_GBK" w:eastAsia="方正黑体_GBK" w:cs="宋体"/>
          <w:sz w:val="20"/>
          <w:szCs w:val="24"/>
        </w:rPr>
        <w:t>（一）估值日</w:t>
      </w:r>
    </w:p>
    <w:p w14:paraId="1A2534B3">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751137A9">
      <w:pPr>
        <w:spacing w:line="240" w:lineRule="auto"/>
        <w:ind w:firstLine="300"/>
        <w:jc w:val="both"/>
        <w:rPr>
          <w:sz w:val="28"/>
          <w:szCs w:val="28"/>
        </w:rPr>
      </w:pPr>
      <w:r>
        <w:rPr>
          <w:rFonts w:ascii="方正黑体_GBK" w:hAnsi="方正黑体_GBK" w:eastAsia="方正黑体_GBK" w:cs="宋体"/>
          <w:sz w:val="20"/>
          <w:szCs w:val="24"/>
        </w:rPr>
        <w:t>（二）估值对象</w:t>
      </w:r>
    </w:p>
    <w:p w14:paraId="218AEF1E">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72F1A76E">
      <w:pPr>
        <w:spacing w:line="240" w:lineRule="auto"/>
        <w:ind w:firstLine="300"/>
        <w:jc w:val="both"/>
        <w:rPr>
          <w:sz w:val="28"/>
          <w:szCs w:val="28"/>
        </w:rPr>
      </w:pPr>
      <w:r>
        <w:rPr>
          <w:rFonts w:ascii="方正黑体_GBK" w:hAnsi="方正黑体_GBK" w:eastAsia="方正黑体_GBK" w:cs="宋体"/>
          <w:sz w:val="20"/>
          <w:szCs w:val="24"/>
        </w:rPr>
        <w:t>（三）估值目的</w:t>
      </w:r>
    </w:p>
    <w:p w14:paraId="60E4E791">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5A47786C">
      <w:pPr>
        <w:spacing w:line="240" w:lineRule="auto"/>
        <w:ind w:firstLine="300"/>
        <w:jc w:val="both"/>
        <w:rPr>
          <w:sz w:val="28"/>
          <w:szCs w:val="28"/>
        </w:rPr>
      </w:pPr>
      <w:r>
        <w:rPr>
          <w:rFonts w:ascii="方正黑体_GBK" w:hAnsi="方正黑体_GBK" w:eastAsia="方正黑体_GBK" w:cs="宋体"/>
          <w:sz w:val="20"/>
          <w:szCs w:val="24"/>
        </w:rPr>
        <w:t>（四）估值原则</w:t>
      </w:r>
    </w:p>
    <w:p w14:paraId="416311DF">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054D43F4">
      <w:pPr>
        <w:spacing w:line="240" w:lineRule="auto"/>
        <w:ind w:firstLine="300"/>
        <w:jc w:val="both"/>
        <w:rPr>
          <w:sz w:val="28"/>
          <w:szCs w:val="28"/>
        </w:rPr>
      </w:pPr>
      <w:r>
        <w:rPr>
          <w:rFonts w:ascii="方正黑体_GBK" w:hAnsi="方正黑体_GBK" w:eastAsia="方正黑体_GBK" w:cs="宋体"/>
          <w:sz w:val="20"/>
          <w:szCs w:val="24"/>
        </w:rPr>
        <w:t>（五）估值方法</w:t>
      </w:r>
    </w:p>
    <w:p w14:paraId="5623953C">
      <w:pPr>
        <w:spacing w:line="240" w:lineRule="auto"/>
        <w:ind w:firstLine="440"/>
        <w:rPr>
          <w:sz w:val="28"/>
          <w:szCs w:val="28"/>
        </w:rPr>
      </w:pPr>
      <w:r>
        <w:rPr>
          <w:rFonts w:ascii="方正黑体_GBK" w:hAnsi="方正黑体_GBK" w:eastAsia="方正黑体_GBK" w:cs="宋体"/>
          <w:sz w:val="20"/>
          <w:szCs w:val="24"/>
        </w:rPr>
        <w:t>估值方法中列示的资产品种不代表管理人的实际投向，本理财产品拟投资范围以“投资范围”章节描述为准。</w:t>
      </w:r>
    </w:p>
    <w:p w14:paraId="0367D055">
      <w:pPr>
        <w:spacing w:line="240" w:lineRule="auto"/>
        <w:ind w:firstLine="440"/>
        <w:rPr>
          <w:sz w:val="28"/>
          <w:szCs w:val="28"/>
        </w:rPr>
      </w:pPr>
      <w:r>
        <w:rPr>
          <w:rFonts w:ascii="方正黑体_GBK" w:hAnsi="方正黑体_GBK" w:eastAsia="方正黑体_GBK" w:cs="宋体"/>
          <w:sz w:val="20"/>
          <w:szCs w:val="24"/>
        </w:rPr>
        <w:t>1.银行存款、回购等货币市场工具</w:t>
      </w:r>
    </w:p>
    <w:p w14:paraId="102E85BD">
      <w:pPr>
        <w:spacing w:line="240" w:lineRule="auto"/>
        <w:ind w:firstLine="440"/>
        <w:rPr>
          <w:sz w:val="28"/>
          <w:szCs w:val="28"/>
        </w:rPr>
      </w:pPr>
      <w:r>
        <w:rPr>
          <w:rFonts w:ascii="方正黑体_GBK" w:hAnsi="方正黑体_GBK" w:eastAsia="方正黑体_GBK" w:cs="宋体"/>
          <w:sz w:val="20"/>
          <w:szCs w:val="24"/>
        </w:rPr>
        <w:t>以本金列示，逐日计提利息。</w:t>
      </w:r>
    </w:p>
    <w:p w14:paraId="312371A6">
      <w:pPr>
        <w:spacing w:line="240" w:lineRule="auto"/>
        <w:ind w:firstLine="440"/>
        <w:rPr>
          <w:sz w:val="28"/>
          <w:szCs w:val="28"/>
        </w:rPr>
      </w:pPr>
      <w:r>
        <w:rPr>
          <w:rFonts w:ascii="方正黑体_GBK" w:hAnsi="方正黑体_GBK" w:eastAsia="方正黑体_GBK" w:cs="宋体"/>
          <w:sz w:val="20"/>
          <w:szCs w:val="24"/>
        </w:rPr>
        <w:t>2.债券类资产</w:t>
      </w:r>
    </w:p>
    <w:p w14:paraId="28BE8D83">
      <w:pPr>
        <w:spacing w:line="240" w:lineRule="auto"/>
        <w:ind w:firstLine="440"/>
        <w:rPr>
          <w:sz w:val="28"/>
          <w:szCs w:val="28"/>
        </w:rPr>
      </w:pPr>
      <w:r>
        <w:rPr>
          <w:rFonts w:ascii="方正黑体_GBK" w:hAnsi="方正黑体_GBK" w:eastAsia="方正黑体_GBK" w:cs="宋体"/>
          <w:sz w:val="20"/>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79E98E30">
      <w:pPr>
        <w:spacing w:line="240" w:lineRule="auto"/>
        <w:ind w:firstLine="440"/>
        <w:rPr>
          <w:sz w:val="28"/>
          <w:szCs w:val="28"/>
        </w:rPr>
      </w:pPr>
      <w:r>
        <w:rPr>
          <w:rFonts w:ascii="方正黑体_GBK" w:hAnsi="方正黑体_GBK" w:eastAsia="方正黑体_GBK" w:cs="宋体"/>
          <w:sz w:val="20"/>
          <w:szCs w:val="24"/>
        </w:rPr>
        <w:t>3.非标准化债权类资产</w:t>
      </w:r>
    </w:p>
    <w:p w14:paraId="21625911">
      <w:pPr>
        <w:spacing w:line="240" w:lineRule="auto"/>
        <w:ind w:firstLine="440"/>
        <w:rPr>
          <w:sz w:val="28"/>
          <w:szCs w:val="28"/>
        </w:rPr>
      </w:pPr>
      <w:r>
        <w:rPr>
          <w:rFonts w:ascii="方正黑体_GBK" w:hAnsi="方正黑体_GBK" w:eastAsia="方正黑体_GBK" w:cs="宋体"/>
          <w:sz w:val="20"/>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7E438B07">
      <w:pPr>
        <w:spacing w:line="240" w:lineRule="auto"/>
        <w:ind w:firstLine="440"/>
        <w:rPr>
          <w:sz w:val="28"/>
          <w:szCs w:val="28"/>
        </w:rPr>
      </w:pPr>
      <w:r>
        <w:rPr>
          <w:rFonts w:ascii="方正黑体_GBK" w:hAnsi="方正黑体_GBK" w:eastAsia="方正黑体_GBK" w:cs="宋体"/>
          <w:sz w:val="20"/>
          <w:szCs w:val="24"/>
        </w:rPr>
        <w:t>4.证券投资基金、资管计划、信托计划等资产</w:t>
      </w:r>
    </w:p>
    <w:p w14:paraId="65B4602D">
      <w:pPr>
        <w:spacing w:line="240" w:lineRule="auto"/>
        <w:ind w:firstLine="440"/>
        <w:rPr>
          <w:sz w:val="28"/>
          <w:szCs w:val="28"/>
        </w:rPr>
      </w:pPr>
      <w:r>
        <w:rPr>
          <w:rFonts w:ascii="方正黑体_GBK" w:hAnsi="方正黑体_GBK" w:eastAsia="方正黑体_GBK" w:cs="宋体"/>
          <w:sz w:val="20"/>
          <w:szCs w:val="24"/>
        </w:rPr>
        <w:t>按照公允价值估值，优先采用市值法估值。管理人将根据监管要求进行穿透管理，资管产品穿透后与理财公司关于同一投资品种的估值原则、政策、技术和方法等一致。</w:t>
      </w:r>
    </w:p>
    <w:p w14:paraId="59C59B34">
      <w:pPr>
        <w:spacing w:line="240" w:lineRule="auto"/>
        <w:ind w:firstLine="440"/>
        <w:rPr>
          <w:sz w:val="28"/>
          <w:szCs w:val="28"/>
        </w:rPr>
      </w:pPr>
      <w:r>
        <w:rPr>
          <w:rFonts w:ascii="方正黑体_GBK" w:hAnsi="方正黑体_GBK" w:eastAsia="方正黑体_GBK" w:cs="宋体"/>
          <w:sz w:val="20"/>
          <w:szCs w:val="24"/>
        </w:rPr>
        <w:t>5.股权类及其他资产</w:t>
      </w:r>
    </w:p>
    <w:p w14:paraId="1ECA2299">
      <w:pPr>
        <w:spacing w:line="240" w:lineRule="auto"/>
        <w:ind w:firstLine="440"/>
        <w:rPr>
          <w:sz w:val="28"/>
          <w:szCs w:val="28"/>
        </w:rPr>
      </w:pPr>
      <w:r>
        <w:rPr>
          <w:rFonts w:ascii="方正黑体_GBK" w:hAnsi="方正黑体_GBK" w:eastAsia="方正黑体_GBK" w:cs="宋体"/>
          <w:sz w:val="20"/>
          <w:szCs w:val="24"/>
        </w:rPr>
        <w:t>按照公允价值估值，优先采用市值法估值。</w:t>
      </w:r>
    </w:p>
    <w:p w14:paraId="775DE011">
      <w:pPr>
        <w:spacing w:line="240" w:lineRule="auto"/>
        <w:ind w:firstLine="440"/>
        <w:rPr>
          <w:sz w:val="28"/>
          <w:szCs w:val="28"/>
        </w:rPr>
      </w:pPr>
      <w:r>
        <w:rPr>
          <w:rFonts w:ascii="方正黑体_GBK" w:hAnsi="方正黑体_GBK" w:eastAsia="方正黑体_GBK" w:cs="宋体"/>
          <w:sz w:val="20"/>
          <w:szCs w:val="24"/>
        </w:rPr>
        <w:t>6.如有新增事项或变更事项，按国家最新规定或监管最新要求进行调整。</w:t>
      </w:r>
    </w:p>
    <w:p w14:paraId="4CB7E321">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7AB7B035">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137C2D04">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2B72C849">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5D6D7F4E">
        <w:trPr>
          <w:trHeight w:val="300" w:hRule="atLeast"/>
        </w:trPr>
        <w:tc>
          <w:tcPr>
            <w:tcW w:w="2100" w:type="dxa"/>
            <w:tcMar>
              <w:left w:w="120" w:type="dxa"/>
            </w:tcMar>
            <w:vAlign w:val="center"/>
          </w:tcPr>
          <w:p w14:paraId="5124AD95">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4701DBEC">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3BA426F5">
            <w:pPr>
              <w:spacing w:line="240" w:lineRule="auto"/>
              <w:rPr>
                <w:sz w:val="28"/>
                <w:szCs w:val="28"/>
              </w:rPr>
            </w:pPr>
            <w:r>
              <w:rPr>
                <w:rFonts w:ascii="方正黑体_GBK" w:hAnsi="方正黑体_GBK" w:eastAsia="方正黑体_GBK" w:cs="宋体"/>
                <w:b/>
                <w:sz w:val="20"/>
                <w:szCs w:val="24"/>
              </w:rPr>
              <w:t>联系方式</w:t>
            </w:r>
          </w:p>
        </w:tc>
      </w:tr>
      <w:tr w14:paraId="6EE95F4E">
        <w:trPr>
          <w:trHeight w:val="300" w:hRule="atLeast"/>
        </w:trPr>
        <w:tc>
          <w:tcPr>
            <w:tcW w:w="2100" w:type="dxa"/>
            <w:tcMar>
              <w:left w:w="120" w:type="dxa"/>
            </w:tcMar>
            <w:vAlign w:val="center"/>
          </w:tcPr>
          <w:p w14:paraId="0D4BE181">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79EB6B63">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1D6DC176">
            <w:pPr>
              <w:spacing w:line="240" w:lineRule="auto"/>
              <w:rPr>
                <w:sz w:val="28"/>
                <w:szCs w:val="28"/>
              </w:rPr>
            </w:pPr>
            <w:r>
              <w:rPr>
                <w:rFonts w:ascii="方正黑体_GBK" w:hAnsi="方正黑体_GBK" w:eastAsia="方正黑体_GBK" w:cs="宋体"/>
                <w:sz w:val="20"/>
                <w:szCs w:val="24"/>
              </w:rPr>
              <w:t>025-83642111</w:t>
            </w:r>
          </w:p>
        </w:tc>
      </w:tr>
      <w:tr w14:paraId="5E14885C">
        <w:trPr>
          <w:trHeight w:val="300" w:hRule="atLeast"/>
        </w:trPr>
        <w:tc>
          <w:tcPr>
            <w:tcW w:w="2100" w:type="dxa"/>
            <w:tcMar>
              <w:left w:w="120" w:type="dxa"/>
            </w:tcMar>
            <w:vAlign w:val="center"/>
          </w:tcPr>
          <w:p w14:paraId="6140318E">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5EFF3240">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7291A40E">
            <w:pPr>
              <w:spacing w:line="240" w:lineRule="auto"/>
              <w:rPr>
                <w:sz w:val="28"/>
                <w:szCs w:val="28"/>
              </w:rPr>
            </w:pPr>
            <w:r>
              <w:rPr>
                <w:rFonts w:ascii="方正黑体_GBK" w:hAnsi="方正黑体_GBK" w:eastAsia="方正黑体_GBK" w:cs="宋体"/>
                <w:sz w:val="20"/>
                <w:szCs w:val="24"/>
              </w:rPr>
              <w:t>95302</w:t>
            </w:r>
          </w:p>
        </w:tc>
      </w:tr>
      <w:tr w14:paraId="0DD90D50">
        <w:trPr>
          <w:trHeight w:val="300" w:hRule="atLeast"/>
        </w:trPr>
        <w:tc>
          <w:tcPr>
            <w:tcW w:w="2100" w:type="dxa"/>
            <w:tcMar>
              <w:left w:w="120" w:type="dxa"/>
            </w:tcMar>
            <w:vAlign w:val="center"/>
          </w:tcPr>
          <w:p w14:paraId="5515CBD8">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7A71BB18">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416B6077">
            <w:pPr>
              <w:spacing w:line="240" w:lineRule="auto"/>
              <w:rPr>
                <w:sz w:val="28"/>
                <w:szCs w:val="28"/>
              </w:rPr>
            </w:pPr>
            <w:r>
              <w:rPr>
                <w:rFonts w:ascii="方正黑体_GBK" w:hAnsi="方正黑体_GBK" w:eastAsia="方正黑体_GBK" w:cs="宋体"/>
                <w:sz w:val="20"/>
                <w:szCs w:val="24"/>
              </w:rPr>
              <w:t>4006696588</w:t>
            </w:r>
          </w:p>
        </w:tc>
      </w:tr>
      <w:tr w14:paraId="46427E0D">
        <w:trPr>
          <w:trHeight w:val="300" w:hRule="atLeast"/>
        </w:trPr>
        <w:tc>
          <w:tcPr>
            <w:tcW w:w="2100" w:type="dxa"/>
            <w:tcMar>
              <w:left w:w="120" w:type="dxa"/>
            </w:tcMar>
            <w:vAlign w:val="center"/>
          </w:tcPr>
          <w:p w14:paraId="50EBA29C">
            <w:pPr>
              <w:spacing w:line="240" w:lineRule="auto"/>
              <w:rPr>
                <w:sz w:val="28"/>
                <w:szCs w:val="28"/>
              </w:rPr>
            </w:pPr>
            <w:r>
              <w:rPr>
                <w:rFonts w:ascii="方正黑体_GBK" w:hAnsi="方正黑体_GBK" w:eastAsia="方正黑体_GBK" w:cs="宋体"/>
                <w:sz w:val="20"/>
                <w:szCs w:val="24"/>
              </w:rPr>
              <w:t>齐商银行股份有限公司</w:t>
            </w:r>
          </w:p>
        </w:tc>
        <w:tc>
          <w:tcPr>
            <w:tcW w:w="4050" w:type="dxa"/>
            <w:tcMar>
              <w:left w:w="120" w:type="dxa"/>
            </w:tcMar>
            <w:vAlign w:val="center"/>
          </w:tcPr>
          <w:p w14:paraId="2461E5A1">
            <w:pPr>
              <w:spacing w:line="240" w:lineRule="auto"/>
              <w:rPr>
                <w:sz w:val="28"/>
                <w:szCs w:val="28"/>
              </w:rPr>
            </w:pPr>
            <w:r>
              <w:rPr>
                <w:rFonts w:ascii="方正黑体_GBK" w:hAnsi="方正黑体_GBK" w:eastAsia="方正黑体_GBK" w:cs="宋体"/>
                <w:sz w:val="20"/>
                <w:szCs w:val="24"/>
              </w:rPr>
              <w:t>山东省淄博市张店区人民西路212号</w:t>
            </w:r>
          </w:p>
        </w:tc>
        <w:tc>
          <w:tcPr>
            <w:tcW w:w="1350" w:type="dxa"/>
            <w:tcMar>
              <w:left w:w="120" w:type="dxa"/>
            </w:tcMar>
            <w:vAlign w:val="center"/>
          </w:tcPr>
          <w:p w14:paraId="7408995E">
            <w:pPr>
              <w:spacing w:line="240" w:lineRule="auto"/>
              <w:rPr>
                <w:sz w:val="28"/>
                <w:szCs w:val="28"/>
              </w:rPr>
            </w:pPr>
            <w:r>
              <w:rPr>
                <w:rFonts w:ascii="方正黑体_GBK" w:hAnsi="方正黑体_GBK" w:eastAsia="方正黑体_GBK" w:cs="宋体"/>
                <w:sz w:val="20"/>
                <w:szCs w:val="24"/>
              </w:rPr>
              <w:t>0533-2163939</w:t>
            </w:r>
          </w:p>
        </w:tc>
      </w:tr>
      <w:tr w14:paraId="4403A8DF">
        <w:trPr>
          <w:trHeight w:val="300" w:hRule="atLeast"/>
        </w:trPr>
        <w:tc>
          <w:tcPr>
            <w:tcW w:w="2100" w:type="dxa"/>
            <w:tcMar>
              <w:left w:w="120" w:type="dxa"/>
            </w:tcMar>
            <w:vAlign w:val="center"/>
          </w:tcPr>
          <w:p w14:paraId="1CE45A83">
            <w:pPr>
              <w:spacing w:line="240" w:lineRule="auto"/>
              <w:rPr>
                <w:sz w:val="28"/>
                <w:szCs w:val="28"/>
              </w:rPr>
            </w:pPr>
            <w:r>
              <w:rPr>
                <w:rFonts w:ascii="方正黑体_GBK" w:hAnsi="方正黑体_GBK" w:eastAsia="方正黑体_GBK" w:cs="宋体"/>
                <w:sz w:val="20"/>
                <w:szCs w:val="24"/>
              </w:rPr>
              <w:t>嘉兴银行股份有限公司</w:t>
            </w:r>
          </w:p>
        </w:tc>
        <w:tc>
          <w:tcPr>
            <w:tcW w:w="4050" w:type="dxa"/>
            <w:tcMar>
              <w:left w:w="120" w:type="dxa"/>
            </w:tcMar>
            <w:vAlign w:val="center"/>
          </w:tcPr>
          <w:p w14:paraId="11D959FF">
            <w:pPr>
              <w:spacing w:line="240" w:lineRule="auto"/>
              <w:rPr>
                <w:sz w:val="28"/>
                <w:szCs w:val="28"/>
              </w:rPr>
            </w:pPr>
            <w:r>
              <w:rPr>
                <w:rFonts w:ascii="方正黑体_GBK" w:hAnsi="方正黑体_GBK" w:eastAsia="方正黑体_GBK" w:cs="宋体"/>
                <w:sz w:val="20"/>
                <w:szCs w:val="24"/>
              </w:rPr>
              <w:t>浙江省嘉兴市昌盛南路1001号</w:t>
            </w:r>
          </w:p>
        </w:tc>
        <w:tc>
          <w:tcPr>
            <w:tcW w:w="1350" w:type="dxa"/>
            <w:tcMar>
              <w:left w:w="120" w:type="dxa"/>
            </w:tcMar>
            <w:vAlign w:val="center"/>
          </w:tcPr>
          <w:p w14:paraId="02414C00">
            <w:pPr>
              <w:spacing w:line="240" w:lineRule="auto"/>
              <w:rPr>
                <w:sz w:val="28"/>
                <w:szCs w:val="28"/>
              </w:rPr>
            </w:pPr>
            <w:r>
              <w:rPr>
                <w:rFonts w:ascii="方正黑体_GBK" w:hAnsi="方正黑体_GBK" w:eastAsia="方正黑体_GBK" w:cs="宋体"/>
                <w:sz w:val="20"/>
                <w:szCs w:val="24"/>
              </w:rPr>
              <w:t>0573-96528</w:t>
            </w:r>
          </w:p>
        </w:tc>
      </w:tr>
      <w:tr w14:paraId="016406B9">
        <w:trPr>
          <w:trHeight w:val="300" w:hRule="atLeast"/>
        </w:trPr>
        <w:tc>
          <w:tcPr>
            <w:tcW w:w="2100" w:type="dxa"/>
            <w:tcMar>
              <w:left w:w="120" w:type="dxa"/>
            </w:tcMar>
            <w:vAlign w:val="center"/>
          </w:tcPr>
          <w:p w14:paraId="3BC0D676">
            <w:pPr>
              <w:spacing w:line="240" w:lineRule="auto"/>
              <w:rPr>
                <w:sz w:val="28"/>
                <w:szCs w:val="28"/>
              </w:rPr>
            </w:pPr>
            <w:r>
              <w:rPr>
                <w:rFonts w:ascii="方正黑体_GBK" w:hAnsi="方正黑体_GBK" w:eastAsia="方正黑体_GBK" w:cs="宋体"/>
                <w:sz w:val="20"/>
                <w:szCs w:val="24"/>
              </w:rPr>
              <w:t>江苏常熟农村商业银行股份有限公司</w:t>
            </w:r>
          </w:p>
        </w:tc>
        <w:tc>
          <w:tcPr>
            <w:tcW w:w="4050" w:type="dxa"/>
            <w:tcMar>
              <w:left w:w="120" w:type="dxa"/>
            </w:tcMar>
            <w:vAlign w:val="center"/>
          </w:tcPr>
          <w:p w14:paraId="017F9A29">
            <w:pPr>
              <w:spacing w:line="240" w:lineRule="auto"/>
              <w:rPr>
                <w:sz w:val="28"/>
                <w:szCs w:val="28"/>
              </w:rPr>
            </w:pPr>
            <w:r>
              <w:rPr>
                <w:rFonts w:ascii="方正黑体_GBK" w:hAnsi="方正黑体_GBK" w:eastAsia="方正黑体_GBK" w:cs="宋体"/>
                <w:sz w:val="20"/>
                <w:szCs w:val="24"/>
              </w:rPr>
              <w:t>江苏省常熟市新世纪大道58号</w:t>
            </w:r>
          </w:p>
        </w:tc>
        <w:tc>
          <w:tcPr>
            <w:tcW w:w="1350" w:type="dxa"/>
            <w:tcMar>
              <w:left w:w="120" w:type="dxa"/>
            </w:tcMar>
            <w:vAlign w:val="center"/>
          </w:tcPr>
          <w:p w14:paraId="3FB39FF9">
            <w:pPr>
              <w:spacing w:line="240" w:lineRule="auto"/>
              <w:rPr>
                <w:sz w:val="28"/>
                <w:szCs w:val="28"/>
              </w:rPr>
            </w:pPr>
            <w:r>
              <w:rPr>
                <w:rFonts w:ascii="方正黑体_GBK" w:hAnsi="方正黑体_GBK" w:eastAsia="方正黑体_GBK" w:cs="宋体"/>
                <w:sz w:val="20"/>
                <w:szCs w:val="24"/>
              </w:rPr>
              <w:t>956020</w:t>
            </w:r>
          </w:p>
        </w:tc>
      </w:tr>
      <w:tr w14:paraId="4C92C7B9">
        <w:trPr>
          <w:trHeight w:val="300" w:hRule="atLeast"/>
        </w:trPr>
        <w:tc>
          <w:tcPr>
            <w:tcW w:w="2100" w:type="dxa"/>
            <w:tcMar>
              <w:left w:w="120" w:type="dxa"/>
            </w:tcMar>
            <w:vAlign w:val="center"/>
          </w:tcPr>
          <w:p w14:paraId="7FA6A739">
            <w:pPr>
              <w:spacing w:line="240" w:lineRule="auto"/>
              <w:rPr>
                <w:sz w:val="28"/>
                <w:szCs w:val="28"/>
              </w:rPr>
            </w:pPr>
            <w:r>
              <w:rPr>
                <w:rFonts w:ascii="方正黑体_GBK" w:hAnsi="方正黑体_GBK" w:eastAsia="方正黑体_GBK" w:cs="宋体"/>
                <w:sz w:val="20"/>
                <w:szCs w:val="24"/>
              </w:rPr>
              <w:t>江苏苏州农村商业银行股份有限公司</w:t>
            </w:r>
          </w:p>
        </w:tc>
        <w:tc>
          <w:tcPr>
            <w:tcW w:w="4050" w:type="dxa"/>
            <w:tcMar>
              <w:left w:w="120" w:type="dxa"/>
            </w:tcMar>
            <w:vAlign w:val="center"/>
          </w:tcPr>
          <w:p w14:paraId="7E1BA525">
            <w:pPr>
              <w:spacing w:line="240" w:lineRule="auto"/>
              <w:rPr>
                <w:sz w:val="28"/>
                <w:szCs w:val="28"/>
              </w:rPr>
            </w:pPr>
            <w:r>
              <w:rPr>
                <w:rFonts w:ascii="方正黑体_GBK" w:hAnsi="方正黑体_GBK" w:eastAsia="方正黑体_GBK" w:cs="宋体"/>
                <w:sz w:val="20"/>
                <w:szCs w:val="24"/>
              </w:rPr>
              <w:t>江苏省苏州市吴江区中山南路1777号</w:t>
            </w:r>
          </w:p>
        </w:tc>
        <w:tc>
          <w:tcPr>
            <w:tcW w:w="1350" w:type="dxa"/>
            <w:tcMar>
              <w:left w:w="120" w:type="dxa"/>
            </w:tcMar>
            <w:vAlign w:val="center"/>
          </w:tcPr>
          <w:p w14:paraId="1E45D0B7">
            <w:pPr>
              <w:spacing w:line="240" w:lineRule="auto"/>
              <w:rPr>
                <w:sz w:val="28"/>
                <w:szCs w:val="28"/>
              </w:rPr>
            </w:pPr>
            <w:r>
              <w:rPr>
                <w:rFonts w:ascii="方正黑体_GBK" w:hAnsi="方正黑体_GBK" w:eastAsia="方正黑体_GBK" w:cs="宋体"/>
                <w:sz w:val="20"/>
                <w:szCs w:val="24"/>
              </w:rPr>
              <w:t>956111</w:t>
            </w:r>
          </w:p>
        </w:tc>
      </w:tr>
      <w:tr w14:paraId="642601E6">
        <w:trPr>
          <w:trHeight w:val="300" w:hRule="atLeast"/>
        </w:trPr>
        <w:tc>
          <w:tcPr>
            <w:tcW w:w="2100" w:type="dxa"/>
            <w:tcMar>
              <w:left w:w="120" w:type="dxa"/>
            </w:tcMar>
            <w:vAlign w:val="center"/>
          </w:tcPr>
          <w:p w14:paraId="542DFF9B">
            <w:pPr>
              <w:spacing w:line="240" w:lineRule="auto"/>
              <w:rPr>
                <w:sz w:val="28"/>
                <w:szCs w:val="28"/>
              </w:rPr>
            </w:pPr>
            <w:r>
              <w:rPr>
                <w:rFonts w:ascii="方正黑体_GBK" w:hAnsi="方正黑体_GBK" w:eastAsia="方正黑体_GBK" w:cs="宋体"/>
                <w:sz w:val="20"/>
                <w:szCs w:val="24"/>
              </w:rPr>
              <w:t>长沙银行股份有限公司</w:t>
            </w:r>
          </w:p>
        </w:tc>
        <w:tc>
          <w:tcPr>
            <w:tcW w:w="4050" w:type="dxa"/>
            <w:tcMar>
              <w:left w:w="120" w:type="dxa"/>
            </w:tcMar>
            <w:vAlign w:val="center"/>
          </w:tcPr>
          <w:p w14:paraId="57C66603">
            <w:pPr>
              <w:spacing w:line="240" w:lineRule="auto"/>
              <w:rPr>
                <w:sz w:val="28"/>
                <w:szCs w:val="28"/>
              </w:rPr>
            </w:pPr>
            <w:r>
              <w:rPr>
                <w:rFonts w:ascii="方正黑体_GBK" w:hAnsi="方正黑体_GBK" w:eastAsia="方正黑体_GBK" w:cs="宋体"/>
                <w:sz w:val="20"/>
                <w:szCs w:val="24"/>
              </w:rPr>
              <w:t>湖南省长沙市岳麓区滨江路53号楷林商务中心B座</w:t>
            </w:r>
          </w:p>
        </w:tc>
        <w:tc>
          <w:tcPr>
            <w:tcW w:w="1350" w:type="dxa"/>
            <w:tcMar>
              <w:left w:w="120" w:type="dxa"/>
            </w:tcMar>
            <w:vAlign w:val="center"/>
          </w:tcPr>
          <w:p w14:paraId="721FCBEB">
            <w:pPr>
              <w:spacing w:line="240" w:lineRule="auto"/>
              <w:rPr>
                <w:sz w:val="28"/>
                <w:szCs w:val="28"/>
              </w:rPr>
            </w:pPr>
            <w:r>
              <w:rPr>
                <w:rFonts w:ascii="方正黑体_GBK" w:hAnsi="方正黑体_GBK" w:eastAsia="方正黑体_GBK" w:cs="宋体"/>
                <w:sz w:val="20"/>
                <w:szCs w:val="24"/>
              </w:rPr>
              <w:t>0731-89934772</w:t>
            </w:r>
          </w:p>
        </w:tc>
      </w:tr>
      <w:tr w14:paraId="01E59AAA">
        <w:trPr>
          <w:trHeight w:val="300" w:hRule="atLeast"/>
        </w:trPr>
        <w:tc>
          <w:tcPr>
            <w:tcW w:w="2100" w:type="dxa"/>
            <w:tcMar>
              <w:left w:w="120" w:type="dxa"/>
            </w:tcMar>
            <w:vAlign w:val="center"/>
          </w:tcPr>
          <w:p w14:paraId="2F0F654C">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5181372E">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1D288ED3">
            <w:pPr>
              <w:spacing w:line="240" w:lineRule="auto"/>
              <w:rPr>
                <w:sz w:val="28"/>
                <w:szCs w:val="28"/>
              </w:rPr>
            </w:pPr>
            <w:r>
              <w:rPr>
                <w:rFonts w:ascii="方正黑体_GBK" w:hAnsi="方正黑体_GBK" w:eastAsia="方正黑体_GBK" w:cs="宋体"/>
                <w:sz w:val="20"/>
                <w:szCs w:val="24"/>
              </w:rPr>
              <w:t>0591-4008939999</w:t>
            </w:r>
          </w:p>
        </w:tc>
      </w:tr>
      <w:tr w14:paraId="2F75D97C">
        <w:trPr>
          <w:trHeight w:val="300" w:hRule="atLeast"/>
        </w:trPr>
        <w:tc>
          <w:tcPr>
            <w:tcW w:w="2100" w:type="dxa"/>
            <w:tcMar>
              <w:left w:w="120" w:type="dxa"/>
            </w:tcMar>
            <w:vAlign w:val="center"/>
          </w:tcPr>
          <w:p w14:paraId="5B13A3D5">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4EE8302C">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265365EA">
            <w:pPr>
              <w:spacing w:line="240" w:lineRule="auto"/>
              <w:rPr>
                <w:sz w:val="28"/>
                <w:szCs w:val="28"/>
              </w:rPr>
            </w:pPr>
            <w:r>
              <w:rPr>
                <w:rFonts w:ascii="方正黑体_GBK" w:hAnsi="方正黑体_GBK" w:eastAsia="方正黑体_GBK" w:cs="宋体"/>
                <w:sz w:val="20"/>
                <w:szCs w:val="24"/>
              </w:rPr>
              <w:t>0335-96336</w:t>
            </w:r>
          </w:p>
        </w:tc>
      </w:tr>
      <w:tr w14:paraId="0189D0D4">
        <w:trPr>
          <w:trHeight w:val="300" w:hRule="atLeast"/>
        </w:trPr>
        <w:tc>
          <w:tcPr>
            <w:tcW w:w="2100" w:type="dxa"/>
            <w:tcMar>
              <w:left w:w="120" w:type="dxa"/>
            </w:tcMar>
            <w:vAlign w:val="center"/>
          </w:tcPr>
          <w:p w14:paraId="7CA00B4A">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144FEC26">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2D5DE99F">
            <w:pPr>
              <w:spacing w:line="240" w:lineRule="auto"/>
              <w:rPr>
                <w:sz w:val="28"/>
                <w:szCs w:val="28"/>
              </w:rPr>
            </w:pPr>
            <w:r>
              <w:rPr>
                <w:rFonts w:ascii="方正黑体_GBK" w:hAnsi="方正黑体_GBK" w:eastAsia="方正黑体_GBK" w:cs="宋体"/>
                <w:sz w:val="20"/>
                <w:szCs w:val="24"/>
              </w:rPr>
              <w:t>0538-96588</w:t>
            </w:r>
          </w:p>
        </w:tc>
      </w:tr>
      <w:tr w14:paraId="3FF95DF6">
        <w:trPr>
          <w:trHeight w:val="300" w:hRule="atLeast"/>
        </w:trPr>
        <w:tc>
          <w:tcPr>
            <w:tcW w:w="2100" w:type="dxa"/>
            <w:tcMar>
              <w:left w:w="120" w:type="dxa"/>
            </w:tcMar>
            <w:vAlign w:val="center"/>
          </w:tcPr>
          <w:p w14:paraId="770C109E">
            <w:pPr>
              <w:spacing w:line="240" w:lineRule="auto"/>
              <w:rPr>
                <w:sz w:val="28"/>
                <w:szCs w:val="28"/>
              </w:rPr>
            </w:pPr>
            <w:r>
              <w:rPr>
                <w:rFonts w:ascii="方正黑体_GBK" w:hAnsi="方正黑体_GBK" w:eastAsia="方正黑体_GBK" w:cs="宋体"/>
                <w:sz w:val="20"/>
                <w:szCs w:val="24"/>
              </w:rPr>
              <w:t>宁波东海银行股份有限公司</w:t>
            </w:r>
          </w:p>
        </w:tc>
        <w:tc>
          <w:tcPr>
            <w:tcW w:w="4050" w:type="dxa"/>
            <w:tcMar>
              <w:left w:w="120" w:type="dxa"/>
            </w:tcMar>
            <w:vAlign w:val="center"/>
          </w:tcPr>
          <w:p w14:paraId="29D1158B">
            <w:pPr>
              <w:spacing w:line="240" w:lineRule="auto"/>
              <w:rPr>
                <w:sz w:val="28"/>
                <w:szCs w:val="28"/>
              </w:rPr>
            </w:pPr>
            <w:r>
              <w:rPr>
                <w:rFonts w:ascii="方正黑体_GBK" w:hAnsi="方正黑体_GBK" w:eastAsia="方正黑体_GBK" w:cs="宋体"/>
                <w:sz w:val="20"/>
                <w:szCs w:val="24"/>
              </w:rPr>
              <w:t>浙江省宁波高新区新晖南路113-127号（单号），扬帆路515号2-10层，高新宝龙商业广场13-19号、22号、29号</w:t>
            </w:r>
          </w:p>
        </w:tc>
        <w:tc>
          <w:tcPr>
            <w:tcW w:w="1350" w:type="dxa"/>
            <w:tcMar>
              <w:left w:w="120" w:type="dxa"/>
            </w:tcMar>
            <w:vAlign w:val="center"/>
          </w:tcPr>
          <w:p w14:paraId="273B0F5B">
            <w:pPr>
              <w:spacing w:line="240" w:lineRule="auto"/>
              <w:rPr>
                <w:sz w:val="28"/>
                <w:szCs w:val="28"/>
              </w:rPr>
            </w:pPr>
            <w:r>
              <w:rPr>
                <w:rFonts w:ascii="方正黑体_GBK" w:hAnsi="方正黑体_GBK" w:eastAsia="方正黑体_GBK" w:cs="宋体"/>
                <w:sz w:val="20"/>
                <w:szCs w:val="24"/>
              </w:rPr>
              <w:t>400-8866-345</w:t>
            </w:r>
          </w:p>
        </w:tc>
      </w:tr>
      <w:tr w14:paraId="564E684D">
        <w:trPr>
          <w:trHeight w:val="300" w:hRule="atLeast"/>
        </w:trPr>
        <w:tc>
          <w:tcPr>
            <w:tcW w:w="2100" w:type="dxa"/>
            <w:tcMar>
              <w:left w:w="120" w:type="dxa"/>
            </w:tcMar>
            <w:vAlign w:val="center"/>
          </w:tcPr>
          <w:p w14:paraId="23130011">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3103756E">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0D3DD5FF">
            <w:pPr>
              <w:spacing w:line="240" w:lineRule="auto"/>
              <w:rPr>
                <w:sz w:val="28"/>
                <w:szCs w:val="28"/>
              </w:rPr>
            </w:pPr>
            <w:r>
              <w:rPr>
                <w:rFonts w:ascii="方正黑体_GBK" w:hAnsi="方正黑体_GBK" w:eastAsia="方正黑体_GBK" w:cs="宋体"/>
                <w:sz w:val="20"/>
                <w:szCs w:val="24"/>
              </w:rPr>
              <w:t>4006096588</w:t>
            </w:r>
          </w:p>
        </w:tc>
      </w:tr>
      <w:tr w14:paraId="1E5BD095">
        <w:trPr>
          <w:trHeight w:val="300" w:hRule="atLeast"/>
        </w:trPr>
        <w:tc>
          <w:tcPr>
            <w:tcW w:w="2100" w:type="dxa"/>
            <w:tcMar>
              <w:left w:w="120" w:type="dxa"/>
            </w:tcMar>
            <w:vAlign w:val="center"/>
          </w:tcPr>
          <w:p w14:paraId="3A7AFC4F">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525AFBFD">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433928A7">
            <w:pPr>
              <w:spacing w:line="240" w:lineRule="auto"/>
              <w:rPr>
                <w:sz w:val="28"/>
                <w:szCs w:val="28"/>
              </w:rPr>
            </w:pPr>
            <w:r>
              <w:rPr>
                <w:rFonts w:ascii="方正黑体_GBK" w:hAnsi="方正黑体_GBK" w:eastAsia="方正黑体_GBK" w:cs="宋体"/>
                <w:sz w:val="20"/>
                <w:szCs w:val="24"/>
              </w:rPr>
              <w:t>96522</w:t>
            </w:r>
          </w:p>
        </w:tc>
      </w:tr>
      <w:tr w14:paraId="46E088FF">
        <w:trPr>
          <w:trHeight w:val="300" w:hRule="atLeast"/>
        </w:trPr>
        <w:tc>
          <w:tcPr>
            <w:tcW w:w="2100" w:type="dxa"/>
            <w:tcMar>
              <w:left w:w="120" w:type="dxa"/>
            </w:tcMar>
            <w:vAlign w:val="center"/>
          </w:tcPr>
          <w:p w14:paraId="393B18F2">
            <w:pPr>
              <w:spacing w:line="240" w:lineRule="auto"/>
              <w:rPr>
                <w:sz w:val="28"/>
                <w:szCs w:val="28"/>
              </w:rPr>
            </w:pPr>
            <w:r>
              <w:rPr>
                <w:rFonts w:ascii="方正黑体_GBK" w:hAnsi="方正黑体_GBK" w:eastAsia="方正黑体_GBK" w:cs="宋体"/>
                <w:sz w:val="20"/>
                <w:szCs w:val="24"/>
              </w:rPr>
              <w:t>九江银行股份有限公司</w:t>
            </w:r>
          </w:p>
        </w:tc>
        <w:tc>
          <w:tcPr>
            <w:tcW w:w="4050" w:type="dxa"/>
            <w:tcMar>
              <w:left w:w="120" w:type="dxa"/>
            </w:tcMar>
            <w:vAlign w:val="center"/>
          </w:tcPr>
          <w:p w14:paraId="209EED25">
            <w:pPr>
              <w:spacing w:line="240" w:lineRule="auto"/>
              <w:rPr>
                <w:sz w:val="28"/>
                <w:szCs w:val="28"/>
              </w:rPr>
            </w:pPr>
            <w:r>
              <w:rPr>
                <w:rFonts w:ascii="方正黑体_GBK" w:hAnsi="方正黑体_GBK" w:eastAsia="方正黑体_GBK" w:cs="宋体"/>
                <w:sz w:val="20"/>
                <w:szCs w:val="24"/>
              </w:rPr>
              <w:t>江西省九江市濂溪区长虹大道619号</w:t>
            </w:r>
          </w:p>
        </w:tc>
        <w:tc>
          <w:tcPr>
            <w:tcW w:w="1350" w:type="dxa"/>
            <w:tcMar>
              <w:left w:w="120" w:type="dxa"/>
            </w:tcMar>
            <w:vAlign w:val="center"/>
          </w:tcPr>
          <w:p w14:paraId="0C6357F4">
            <w:pPr>
              <w:spacing w:line="240" w:lineRule="auto"/>
              <w:rPr>
                <w:sz w:val="28"/>
                <w:szCs w:val="28"/>
              </w:rPr>
            </w:pPr>
            <w:r>
              <w:rPr>
                <w:rFonts w:ascii="方正黑体_GBK" w:hAnsi="方正黑体_GBK" w:eastAsia="方正黑体_GBK" w:cs="宋体"/>
                <w:sz w:val="20"/>
                <w:szCs w:val="24"/>
              </w:rPr>
              <w:t>95316</w:t>
            </w:r>
          </w:p>
        </w:tc>
      </w:tr>
      <w:tr w14:paraId="51E9BDB8">
        <w:trPr>
          <w:trHeight w:val="300" w:hRule="atLeast"/>
        </w:trPr>
        <w:tc>
          <w:tcPr>
            <w:tcW w:w="2100" w:type="dxa"/>
            <w:tcMar>
              <w:left w:w="120" w:type="dxa"/>
            </w:tcMar>
            <w:vAlign w:val="center"/>
          </w:tcPr>
          <w:p w14:paraId="53AA475F">
            <w:pPr>
              <w:spacing w:line="240" w:lineRule="auto"/>
              <w:rPr>
                <w:sz w:val="28"/>
                <w:szCs w:val="28"/>
              </w:rPr>
            </w:pPr>
            <w:r>
              <w:rPr>
                <w:rFonts w:ascii="方正黑体_GBK" w:hAnsi="方正黑体_GBK" w:eastAsia="方正黑体_GBK" w:cs="宋体"/>
                <w:sz w:val="20"/>
                <w:szCs w:val="24"/>
              </w:rPr>
              <w:t>宁夏银行股份有限公司</w:t>
            </w:r>
          </w:p>
        </w:tc>
        <w:tc>
          <w:tcPr>
            <w:tcW w:w="4050" w:type="dxa"/>
            <w:tcMar>
              <w:left w:w="120" w:type="dxa"/>
            </w:tcMar>
            <w:vAlign w:val="center"/>
          </w:tcPr>
          <w:p w14:paraId="0915E113">
            <w:pPr>
              <w:spacing w:line="240" w:lineRule="auto"/>
              <w:rPr>
                <w:sz w:val="28"/>
                <w:szCs w:val="28"/>
              </w:rPr>
            </w:pPr>
            <w:r>
              <w:rPr>
                <w:rFonts w:ascii="方正黑体_GBK" w:hAnsi="方正黑体_GBK" w:eastAsia="方正黑体_GBK" w:cs="宋体"/>
                <w:sz w:val="20"/>
                <w:szCs w:val="24"/>
              </w:rPr>
              <w:t>宁夏回族自治区银川市北京中路 157 号</w:t>
            </w:r>
          </w:p>
        </w:tc>
        <w:tc>
          <w:tcPr>
            <w:tcW w:w="1350" w:type="dxa"/>
            <w:tcMar>
              <w:left w:w="120" w:type="dxa"/>
            </w:tcMar>
            <w:vAlign w:val="center"/>
          </w:tcPr>
          <w:p w14:paraId="31CB7B45">
            <w:pPr>
              <w:spacing w:line="240" w:lineRule="auto"/>
              <w:rPr>
                <w:sz w:val="28"/>
                <w:szCs w:val="28"/>
              </w:rPr>
            </w:pPr>
            <w:r>
              <w:rPr>
                <w:rFonts w:ascii="方正黑体_GBK" w:hAnsi="方正黑体_GBK" w:eastAsia="方正黑体_GBK" w:cs="宋体"/>
                <w:sz w:val="20"/>
                <w:szCs w:val="24"/>
              </w:rPr>
              <w:t>400-809-6558</w:t>
            </w:r>
          </w:p>
        </w:tc>
      </w:tr>
      <w:tr w14:paraId="2AEF6BDC">
        <w:trPr>
          <w:trHeight w:val="300" w:hRule="atLeast"/>
        </w:trPr>
        <w:tc>
          <w:tcPr>
            <w:tcW w:w="2100" w:type="dxa"/>
            <w:tcMar>
              <w:left w:w="120" w:type="dxa"/>
            </w:tcMar>
            <w:vAlign w:val="center"/>
          </w:tcPr>
          <w:p w14:paraId="148BCD13">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50FC431D">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5477D26C">
            <w:pPr>
              <w:spacing w:line="240" w:lineRule="auto"/>
              <w:rPr>
                <w:sz w:val="28"/>
                <w:szCs w:val="28"/>
              </w:rPr>
            </w:pPr>
            <w:r>
              <w:rPr>
                <w:rFonts w:ascii="方正黑体_GBK" w:hAnsi="方正黑体_GBK" w:eastAsia="方正黑体_GBK" w:cs="宋体"/>
                <w:sz w:val="20"/>
                <w:szCs w:val="24"/>
              </w:rPr>
              <w:t>022-96155、400-80-96155</w:t>
            </w:r>
          </w:p>
        </w:tc>
      </w:tr>
      <w:tr w14:paraId="69CF80B5">
        <w:trPr>
          <w:trHeight w:val="300" w:hRule="atLeast"/>
        </w:trPr>
        <w:tc>
          <w:tcPr>
            <w:tcW w:w="2100" w:type="dxa"/>
            <w:tcMar>
              <w:left w:w="120" w:type="dxa"/>
            </w:tcMar>
            <w:vAlign w:val="center"/>
          </w:tcPr>
          <w:p w14:paraId="39111D59">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5978AA4A">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3766AFD4">
            <w:pPr>
              <w:spacing w:line="240" w:lineRule="auto"/>
              <w:rPr>
                <w:sz w:val="28"/>
                <w:szCs w:val="28"/>
              </w:rPr>
            </w:pPr>
            <w:r>
              <w:rPr>
                <w:rFonts w:ascii="方正黑体_GBK" w:hAnsi="方正黑体_GBK" w:eastAsia="方正黑体_GBK" w:cs="宋体"/>
                <w:sz w:val="20"/>
                <w:szCs w:val="24"/>
              </w:rPr>
              <w:t>96008</w:t>
            </w:r>
          </w:p>
        </w:tc>
      </w:tr>
      <w:tr w14:paraId="19F1EE72">
        <w:trPr>
          <w:trHeight w:val="300" w:hRule="atLeast"/>
        </w:trPr>
        <w:tc>
          <w:tcPr>
            <w:tcW w:w="2100" w:type="dxa"/>
            <w:tcMar>
              <w:left w:w="120" w:type="dxa"/>
            </w:tcMar>
            <w:vAlign w:val="center"/>
          </w:tcPr>
          <w:p w14:paraId="276FCA5A">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439F70E3">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1ACA2CCE">
            <w:pPr>
              <w:spacing w:line="240" w:lineRule="auto"/>
              <w:rPr>
                <w:sz w:val="28"/>
                <w:szCs w:val="28"/>
              </w:rPr>
            </w:pPr>
            <w:r>
              <w:rPr>
                <w:rFonts w:ascii="方正黑体_GBK" w:hAnsi="方正黑体_GBK" w:eastAsia="方正黑体_GBK" w:cs="宋体"/>
                <w:sz w:val="20"/>
                <w:szCs w:val="24"/>
              </w:rPr>
              <w:t>96699</w:t>
            </w:r>
          </w:p>
        </w:tc>
      </w:tr>
      <w:tr w14:paraId="424E44A1">
        <w:trPr>
          <w:trHeight w:val="300" w:hRule="atLeast"/>
        </w:trPr>
        <w:tc>
          <w:tcPr>
            <w:tcW w:w="2100" w:type="dxa"/>
            <w:tcMar>
              <w:left w:w="120" w:type="dxa"/>
            </w:tcMar>
            <w:vAlign w:val="center"/>
          </w:tcPr>
          <w:p w14:paraId="016ED692">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75C1E226">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22DF8C86">
            <w:pPr>
              <w:spacing w:line="240" w:lineRule="auto"/>
              <w:rPr>
                <w:sz w:val="28"/>
                <w:szCs w:val="28"/>
              </w:rPr>
            </w:pPr>
            <w:r>
              <w:rPr>
                <w:rFonts w:ascii="方正黑体_GBK" w:hAnsi="方正黑体_GBK" w:eastAsia="方正黑体_GBK" w:cs="宋体"/>
                <w:sz w:val="20"/>
                <w:szCs w:val="24"/>
              </w:rPr>
              <w:t>96008</w:t>
            </w:r>
          </w:p>
        </w:tc>
      </w:tr>
      <w:tr w14:paraId="4AD3084C">
        <w:trPr>
          <w:trHeight w:val="300" w:hRule="atLeast"/>
        </w:trPr>
        <w:tc>
          <w:tcPr>
            <w:tcW w:w="2100" w:type="dxa"/>
            <w:tcMar>
              <w:left w:w="120" w:type="dxa"/>
            </w:tcMar>
            <w:vAlign w:val="center"/>
          </w:tcPr>
          <w:p w14:paraId="0DFEB6B8">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41702796">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6E613D84">
            <w:pPr>
              <w:spacing w:line="240" w:lineRule="auto"/>
              <w:rPr>
                <w:sz w:val="28"/>
                <w:szCs w:val="28"/>
              </w:rPr>
            </w:pPr>
            <w:r>
              <w:rPr>
                <w:rFonts w:ascii="方正黑体_GBK" w:hAnsi="方正黑体_GBK" w:eastAsia="方正黑体_GBK" w:cs="宋体"/>
                <w:sz w:val="20"/>
                <w:szCs w:val="24"/>
              </w:rPr>
              <w:t>96008</w:t>
            </w:r>
          </w:p>
        </w:tc>
      </w:tr>
      <w:tr w14:paraId="2C34BD12">
        <w:trPr>
          <w:trHeight w:val="300" w:hRule="atLeast"/>
        </w:trPr>
        <w:tc>
          <w:tcPr>
            <w:tcW w:w="2100" w:type="dxa"/>
            <w:tcMar>
              <w:left w:w="120" w:type="dxa"/>
            </w:tcMar>
            <w:vAlign w:val="center"/>
          </w:tcPr>
          <w:p w14:paraId="29AE2B36">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2B2FEC43">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6D32FE10">
            <w:pPr>
              <w:spacing w:line="240" w:lineRule="auto"/>
              <w:rPr>
                <w:sz w:val="28"/>
                <w:szCs w:val="28"/>
              </w:rPr>
            </w:pPr>
            <w:r>
              <w:rPr>
                <w:rFonts w:ascii="方正黑体_GBK" w:hAnsi="方正黑体_GBK" w:eastAsia="方正黑体_GBK" w:cs="宋体"/>
                <w:sz w:val="20"/>
                <w:szCs w:val="24"/>
              </w:rPr>
              <w:t>0512-96067</w:t>
            </w:r>
          </w:p>
        </w:tc>
      </w:tr>
      <w:tr w14:paraId="2CC504CB">
        <w:trPr>
          <w:trHeight w:val="300" w:hRule="atLeast"/>
        </w:trPr>
        <w:tc>
          <w:tcPr>
            <w:tcW w:w="2100" w:type="dxa"/>
            <w:tcMar>
              <w:left w:w="120" w:type="dxa"/>
            </w:tcMar>
            <w:vAlign w:val="center"/>
          </w:tcPr>
          <w:p w14:paraId="4955199D">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6EB9097E">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690EAB7B">
            <w:pPr>
              <w:spacing w:line="240" w:lineRule="auto"/>
              <w:rPr>
                <w:sz w:val="28"/>
                <w:szCs w:val="28"/>
              </w:rPr>
            </w:pPr>
            <w:r>
              <w:rPr>
                <w:rFonts w:ascii="方正黑体_GBK" w:hAnsi="方正黑体_GBK" w:eastAsia="方正黑体_GBK" w:cs="宋体"/>
                <w:sz w:val="20"/>
                <w:szCs w:val="24"/>
              </w:rPr>
              <w:t>0472-2658888</w:t>
            </w:r>
          </w:p>
        </w:tc>
      </w:tr>
      <w:tr w14:paraId="3EB75729">
        <w:trPr>
          <w:trHeight w:val="300" w:hRule="atLeast"/>
        </w:trPr>
        <w:tc>
          <w:tcPr>
            <w:tcW w:w="2100" w:type="dxa"/>
            <w:tcMar>
              <w:left w:w="120" w:type="dxa"/>
            </w:tcMar>
            <w:vAlign w:val="center"/>
          </w:tcPr>
          <w:p w14:paraId="483C7907">
            <w:pPr>
              <w:spacing w:line="240" w:lineRule="auto"/>
              <w:rPr>
                <w:sz w:val="28"/>
                <w:szCs w:val="28"/>
              </w:rPr>
            </w:pPr>
            <w:r>
              <w:rPr>
                <w:rFonts w:ascii="方正黑体_GBK" w:hAnsi="方正黑体_GBK" w:eastAsia="方正黑体_GBK" w:cs="宋体"/>
                <w:sz w:val="20"/>
                <w:szCs w:val="24"/>
              </w:rPr>
              <w:t>富邦华一银行有限公司</w:t>
            </w:r>
          </w:p>
        </w:tc>
        <w:tc>
          <w:tcPr>
            <w:tcW w:w="4050" w:type="dxa"/>
            <w:tcMar>
              <w:left w:w="120" w:type="dxa"/>
            </w:tcMar>
            <w:vAlign w:val="center"/>
          </w:tcPr>
          <w:p w14:paraId="4B0A6BFE">
            <w:pPr>
              <w:spacing w:line="240" w:lineRule="auto"/>
              <w:rPr>
                <w:sz w:val="28"/>
                <w:szCs w:val="28"/>
              </w:rPr>
            </w:pPr>
            <w:r>
              <w:rPr>
                <w:rFonts w:ascii="方正黑体_GBK" w:hAnsi="方正黑体_GBK" w:eastAsia="方正黑体_GBK" w:cs="宋体"/>
                <w:sz w:val="20"/>
                <w:szCs w:val="24"/>
              </w:rPr>
              <w:t>中国（上海）自由贸易试验区世纪大道1168号A座101室、18楼、19楼及20楼</w:t>
            </w:r>
          </w:p>
        </w:tc>
        <w:tc>
          <w:tcPr>
            <w:tcW w:w="1350" w:type="dxa"/>
            <w:tcMar>
              <w:left w:w="120" w:type="dxa"/>
            </w:tcMar>
            <w:vAlign w:val="center"/>
          </w:tcPr>
          <w:p w14:paraId="1A516F9B">
            <w:pPr>
              <w:spacing w:line="240" w:lineRule="auto"/>
              <w:rPr>
                <w:sz w:val="28"/>
                <w:szCs w:val="28"/>
              </w:rPr>
            </w:pPr>
            <w:r>
              <w:rPr>
                <w:rFonts w:ascii="方正黑体_GBK" w:hAnsi="方正黑体_GBK" w:eastAsia="方正黑体_GBK" w:cs="宋体"/>
                <w:sz w:val="20"/>
                <w:szCs w:val="24"/>
              </w:rPr>
              <w:t>021-962811</w:t>
            </w:r>
          </w:p>
        </w:tc>
      </w:tr>
      <w:tr w14:paraId="63751DC7">
        <w:trPr>
          <w:trHeight w:val="300" w:hRule="atLeast"/>
        </w:trPr>
        <w:tc>
          <w:tcPr>
            <w:tcW w:w="2100" w:type="dxa"/>
            <w:tcMar>
              <w:left w:w="120" w:type="dxa"/>
            </w:tcMar>
            <w:vAlign w:val="center"/>
          </w:tcPr>
          <w:p w14:paraId="72CE4101">
            <w:pPr>
              <w:spacing w:line="240" w:lineRule="auto"/>
              <w:rPr>
                <w:sz w:val="28"/>
                <w:szCs w:val="28"/>
              </w:rPr>
            </w:pPr>
            <w:r>
              <w:rPr>
                <w:rFonts w:ascii="方正黑体_GBK" w:hAnsi="方正黑体_GBK" w:eastAsia="方正黑体_GBK" w:cs="宋体"/>
                <w:sz w:val="20"/>
                <w:szCs w:val="24"/>
              </w:rPr>
              <w:t>宁波通商银行股份有限公司</w:t>
            </w:r>
          </w:p>
        </w:tc>
        <w:tc>
          <w:tcPr>
            <w:tcW w:w="4050" w:type="dxa"/>
            <w:tcMar>
              <w:left w:w="120" w:type="dxa"/>
            </w:tcMar>
            <w:vAlign w:val="center"/>
          </w:tcPr>
          <w:p w14:paraId="59839CB6">
            <w:pPr>
              <w:spacing w:line="240" w:lineRule="auto"/>
              <w:rPr>
                <w:sz w:val="28"/>
                <w:szCs w:val="28"/>
              </w:rPr>
            </w:pPr>
            <w:r>
              <w:rPr>
                <w:rFonts w:ascii="方正黑体_GBK" w:hAnsi="方正黑体_GBK" w:eastAsia="方正黑体_GBK" w:cs="宋体"/>
                <w:sz w:val="20"/>
                <w:szCs w:val="24"/>
              </w:rPr>
              <w:t>浙江省宁波市鄞州区民安东路337号</w:t>
            </w:r>
          </w:p>
        </w:tc>
        <w:tc>
          <w:tcPr>
            <w:tcW w:w="1350" w:type="dxa"/>
            <w:tcMar>
              <w:left w:w="120" w:type="dxa"/>
            </w:tcMar>
            <w:vAlign w:val="center"/>
          </w:tcPr>
          <w:p w14:paraId="7B16CEE2">
            <w:pPr>
              <w:spacing w:line="240" w:lineRule="auto"/>
              <w:rPr>
                <w:sz w:val="28"/>
                <w:szCs w:val="28"/>
              </w:rPr>
            </w:pPr>
            <w:r>
              <w:rPr>
                <w:rFonts w:ascii="方正黑体_GBK" w:hAnsi="方正黑体_GBK" w:eastAsia="方正黑体_GBK" w:cs="宋体"/>
                <w:sz w:val="20"/>
                <w:szCs w:val="24"/>
              </w:rPr>
              <w:t>400-916-6666</w:t>
            </w:r>
          </w:p>
        </w:tc>
      </w:tr>
      <w:tr w14:paraId="036AA608">
        <w:trPr>
          <w:trHeight w:val="300" w:hRule="atLeast"/>
        </w:trPr>
        <w:tc>
          <w:tcPr>
            <w:tcW w:w="2100" w:type="dxa"/>
            <w:tcMar>
              <w:left w:w="120" w:type="dxa"/>
            </w:tcMar>
            <w:vAlign w:val="center"/>
          </w:tcPr>
          <w:p w14:paraId="3E9F838C">
            <w:pPr>
              <w:spacing w:line="240" w:lineRule="auto"/>
              <w:rPr>
                <w:sz w:val="28"/>
                <w:szCs w:val="28"/>
              </w:rPr>
            </w:pPr>
            <w:r>
              <w:rPr>
                <w:rFonts w:ascii="方正黑体_GBK" w:hAnsi="方正黑体_GBK" w:eastAsia="方正黑体_GBK" w:cs="宋体"/>
                <w:sz w:val="20"/>
                <w:szCs w:val="24"/>
              </w:rPr>
              <w:t>日照银行股份有限公司</w:t>
            </w:r>
          </w:p>
        </w:tc>
        <w:tc>
          <w:tcPr>
            <w:tcW w:w="4050" w:type="dxa"/>
            <w:tcMar>
              <w:left w:w="120" w:type="dxa"/>
            </w:tcMar>
            <w:vAlign w:val="center"/>
          </w:tcPr>
          <w:p w14:paraId="74EFE14B">
            <w:pPr>
              <w:spacing w:line="240" w:lineRule="auto"/>
              <w:rPr>
                <w:sz w:val="28"/>
                <w:szCs w:val="28"/>
              </w:rPr>
            </w:pPr>
            <w:r>
              <w:rPr>
                <w:rFonts w:ascii="方正黑体_GBK" w:hAnsi="方正黑体_GBK" w:eastAsia="方正黑体_GBK" w:cs="宋体"/>
                <w:sz w:val="20"/>
                <w:szCs w:val="24"/>
              </w:rPr>
              <w:t>日照市烟台路197号</w:t>
            </w:r>
          </w:p>
        </w:tc>
        <w:tc>
          <w:tcPr>
            <w:tcW w:w="1350" w:type="dxa"/>
            <w:tcMar>
              <w:left w:w="120" w:type="dxa"/>
            </w:tcMar>
            <w:vAlign w:val="center"/>
          </w:tcPr>
          <w:p w14:paraId="09F0CF55">
            <w:pPr>
              <w:spacing w:line="240" w:lineRule="auto"/>
              <w:rPr>
                <w:sz w:val="28"/>
                <w:szCs w:val="28"/>
              </w:rPr>
            </w:pPr>
            <w:r>
              <w:rPr>
                <w:rFonts w:ascii="方正黑体_GBK" w:hAnsi="方正黑体_GBK" w:eastAsia="方正黑体_GBK" w:cs="宋体"/>
                <w:sz w:val="20"/>
                <w:szCs w:val="24"/>
              </w:rPr>
              <w:t>0633-8081110</w:t>
            </w:r>
          </w:p>
        </w:tc>
      </w:tr>
      <w:tr w14:paraId="4D9F949C">
        <w:trPr>
          <w:trHeight w:val="300" w:hRule="atLeast"/>
        </w:trPr>
        <w:tc>
          <w:tcPr>
            <w:tcW w:w="2100" w:type="dxa"/>
            <w:tcMar>
              <w:left w:w="120" w:type="dxa"/>
            </w:tcMar>
            <w:vAlign w:val="center"/>
          </w:tcPr>
          <w:p w14:paraId="47DF18E2">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1FCDE03B">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14AFF5C3">
            <w:pPr>
              <w:spacing w:line="240" w:lineRule="auto"/>
              <w:rPr>
                <w:sz w:val="28"/>
                <w:szCs w:val="28"/>
              </w:rPr>
            </w:pPr>
            <w:r>
              <w:rPr>
                <w:rFonts w:ascii="方正黑体_GBK" w:hAnsi="方正黑体_GBK" w:eastAsia="方正黑体_GBK" w:cs="宋体"/>
                <w:sz w:val="20"/>
                <w:szCs w:val="24"/>
              </w:rPr>
              <w:t>400-83-96699</w:t>
            </w:r>
          </w:p>
        </w:tc>
      </w:tr>
      <w:tr w14:paraId="46965A4D">
        <w:trPr>
          <w:trHeight w:val="300" w:hRule="atLeast"/>
        </w:trPr>
        <w:tc>
          <w:tcPr>
            <w:tcW w:w="2100" w:type="dxa"/>
            <w:tcMar>
              <w:left w:w="120" w:type="dxa"/>
            </w:tcMar>
            <w:vAlign w:val="center"/>
          </w:tcPr>
          <w:p w14:paraId="11C2379E">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24FBF569">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1CFA5E07">
            <w:pPr>
              <w:spacing w:line="240" w:lineRule="auto"/>
              <w:rPr>
                <w:sz w:val="28"/>
                <w:szCs w:val="28"/>
              </w:rPr>
            </w:pPr>
            <w:r>
              <w:rPr>
                <w:rFonts w:ascii="方正黑体_GBK" w:hAnsi="方正黑体_GBK" w:eastAsia="方正黑体_GBK" w:cs="宋体"/>
                <w:sz w:val="20"/>
                <w:szCs w:val="24"/>
              </w:rPr>
              <w:t>0951-96789</w:t>
            </w:r>
          </w:p>
        </w:tc>
      </w:tr>
      <w:tr w14:paraId="45E73C88">
        <w:trPr>
          <w:trHeight w:val="300" w:hRule="atLeast"/>
        </w:trPr>
        <w:tc>
          <w:tcPr>
            <w:tcW w:w="2100" w:type="dxa"/>
            <w:tcMar>
              <w:left w:w="120" w:type="dxa"/>
            </w:tcMar>
            <w:vAlign w:val="center"/>
          </w:tcPr>
          <w:p w14:paraId="250CE842">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4227BD05">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7D805CBA">
            <w:pPr>
              <w:spacing w:line="240" w:lineRule="auto"/>
              <w:rPr>
                <w:sz w:val="28"/>
                <w:szCs w:val="28"/>
              </w:rPr>
            </w:pPr>
            <w:r>
              <w:rPr>
                <w:rFonts w:ascii="方正黑体_GBK" w:hAnsi="方正黑体_GBK" w:eastAsia="方正黑体_GBK" w:cs="宋体"/>
                <w:sz w:val="20"/>
                <w:szCs w:val="24"/>
              </w:rPr>
              <w:t>400-888-0555</w:t>
            </w:r>
          </w:p>
        </w:tc>
      </w:tr>
      <w:tr w14:paraId="49F2C1F5">
        <w:trPr>
          <w:trHeight w:val="300" w:hRule="atLeast"/>
        </w:trPr>
        <w:tc>
          <w:tcPr>
            <w:tcW w:w="2100" w:type="dxa"/>
            <w:tcMar>
              <w:left w:w="120" w:type="dxa"/>
            </w:tcMar>
            <w:vAlign w:val="center"/>
          </w:tcPr>
          <w:p w14:paraId="1A07AE5E">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58753B50">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16E065E1">
            <w:pPr>
              <w:spacing w:line="240" w:lineRule="auto"/>
              <w:rPr>
                <w:sz w:val="28"/>
                <w:szCs w:val="28"/>
              </w:rPr>
            </w:pPr>
            <w:r>
              <w:rPr>
                <w:rFonts w:ascii="方正黑体_GBK" w:hAnsi="方正黑体_GBK" w:eastAsia="方正黑体_GBK" w:cs="宋体"/>
                <w:sz w:val="20"/>
                <w:szCs w:val="24"/>
              </w:rPr>
              <w:t>96008</w:t>
            </w:r>
          </w:p>
        </w:tc>
      </w:tr>
      <w:tr w14:paraId="5A1CA643">
        <w:trPr>
          <w:trHeight w:val="300" w:hRule="atLeast"/>
        </w:trPr>
        <w:tc>
          <w:tcPr>
            <w:tcW w:w="2100" w:type="dxa"/>
            <w:tcMar>
              <w:left w:w="120" w:type="dxa"/>
            </w:tcMar>
            <w:vAlign w:val="center"/>
          </w:tcPr>
          <w:p w14:paraId="70B0D9CA">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013B958B">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7C44CA05">
            <w:pPr>
              <w:spacing w:line="240" w:lineRule="auto"/>
              <w:rPr>
                <w:sz w:val="28"/>
                <w:szCs w:val="28"/>
              </w:rPr>
            </w:pPr>
            <w:r>
              <w:rPr>
                <w:rFonts w:ascii="方正黑体_GBK" w:hAnsi="方正黑体_GBK" w:eastAsia="方正黑体_GBK" w:cs="宋体"/>
                <w:sz w:val="20"/>
                <w:szCs w:val="24"/>
              </w:rPr>
              <w:t>96008</w:t>
            </w:r>
          </w:p>
        </w:tc>
      </w:tr>
      <w:tr w14:paraId="1D5346F2">
        <w:trPr>
          <w:trHeight w:val="300" w:hRule="atLeast"/>
        </w:trPr>
        <w:tc>
          <w:tcPr>
            <w:tcW w:w="2100" w:type="dxa"/>
            <w:tcMar>
              <w:left w:w="120" w:type="dxa"/>
            </w:tcMar>
            <w:vAlign w:val="center"/>
          </w:tcPr>
          <w:p w14:paraId="77C2A4F7">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2663A063">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36B3F3B4">
            <w:pPr>
              <w:spacing w:line="240" w:lineRule="auto"/>
              <w:rPr>
                <w:sz w:val="28"/>
                <w:szCs w:val="28"/>
              </w:rPr>
            </w:pPr>
            <w:r>
              <w:rPr>
                <w:rFonts w:ascii="方正黑体_GBK" w:hAnsi="方正黑体_GBK" w:eastAsia="方正黑体_GBK" w:cs="宋体"/>
                <w:sz w:val="20"/>
                <w:szCs w:val="24"/>
              </w:rPr>
              <w:t>96008</w:t>
            </w:r>
          </w:p>
        </w:tc>
      </w:tr>
      <w:tr w14:paraId="0C942A97">
        <w:trPr>
          <w:trHeight w:val="300" w:hRule="atLeast"/>
        </w:trPr>
        <w:tc>
          <w:tcPr>
            <w:tcW w:w="2100" w:type="dxa"/>
            <w:tcMar>
              <w:left w:w="120" w:type="dxa"/>
            </w:tcMar>
            <w:vAlign w:val="center"/>
          </w:tcPr>
          <w:p w14:paraId="410507AF">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3D12A0E5">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2AA73AD4">
            <w:pPr>
              <w:spacing w:line="240" w:lineRule="auto"/>
              <w:rPr>
                <w:sz w:val="28"/>
                <w:szCs w:val="28"/>
              </w:rPr>
            </w:pPr>
            <w:r>
              <w:rPr>
                <w:rFonts w:ascii="方正黑体_GBK" w:hAnsi="方正黑体_GBK" w:eastAsia="方正黑体_GBK" w:cs="宋体"/>
                <w:sz w:val="20"/>
                <w:szCs w:val="24"/>
              </w:rPr>
              <w:t>96008</w:t>
            </w:r>
          </w:p>
        </w:tc>
      </w:tr>
      <w:tr w14:paraId="566A88F2">
        <w:trPr>
          <w:trHeight w:val="300" w:hRule="atLeast"/>
        </w:trPr>
        <w:tc>
          <w:tcPr>
            <w:tcW w:w="2100" w:type="dxa"/>
            <w:tcMar>
              <w:left w:w="120" w:type="dxa"/>
            </w:tcMar>
            <w:vAlign w:val="center"/>
          </w:tcPr>
          <w:p w14:paraId="1404F436">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1EF76ABA">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2DDDC617">
            <w:pPr>
              <w:spacing w:line="240" w:lineRule="auto"/>
              <w:rPr>
                <w:sz w:val="28"/>
                <w:szCs w:val="28"/>
              </w:rPr>
            </w:pPr>
            <w:r>
              <w:rPr>
                <w:rFonts w:ascii="方正黑体_GBK" w:hAnsi="方正黑体_GBK" w:eastAsia="方正黑体_GBK" w:cs="宋体"/>
                <w:sz w:val="20"/>
                <w:szCs w:val="24"/>
              </w:rPr>
              <w:t>96008</w:t>
            </w:r>
          </w:p>
        </w:tc>
      </w:tr>
      <w:tr w14:paraId="012C4E23">
        <w:trPr>
          <w:trHeight w:val="300" w:hRule="atLeast"/>
        </w:trPr>
        <w:tc>
          <w:tcPr>
            <w:tcW w:w="2100" w:type="dxa"/>
            <w:tcMar>
              <w:left w:w="120" w:type="dxa"/>
            </w:tcMar>
            <w:vAlign w:val="center"/>
          </w:tcPr>
          <w:p w14:paraId="4880D84B">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297445EE">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15B5A84B">
            <w:pPr>
              <w:spacing w:line="240" w:lineRule="auto"/>
              <w:rPr>
                <w:sz w:val="28"/>
                <w:szCs w:val="28"/>
              </w:rPr>
            </w:pPr>
            <w:r>
              <w:rPr>
                <w:rFonts w:ascii="方正黑体_GBK" w:hAnsi="方正黑体_GBK" w:eastAsia="方正黑体_GBK" w:cs="宋体"/>
                <w:sz w:val="20"/>
                <w:szCs w:val="24"/>
              </w:rPr>
              <w:t>96008</w:t>
            </w:r>
          </w:p>
        </w:tc>
      </w:tr>
      <w:tr w14:paraId="56AACDA2">
        <w:trPr>
          <w:trHeight w:val="300" w:hRule="atLeast"/>
        </w:trPr>
        <w:tc>
          <w:tcPr>
            <w:tcW w:w="2100" w:type="dxa"/>
            <w:tcMar>
              <w:left w:w="120" w:type="dxa"/>
            </w:tcMar>
            <w:vAlign w:val="center"/>
          </w:tcPr>
          <w:p w14:paraId="02531A81">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7F1FD5F5">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395F8059">
            <w:pPr>
              <w:spacing w:line="240" w:lineRule="auto"/>
              <w:rPr>
                <w:sz w:val="28"/>
                <w:szCs w:val="28"/>
              </w:rPr>
            </w:pPr>
            <w:r>
              <w:rPr>
                <w:rFonts w:ascii="方正黑体_GBK" w:hAnsi="方正黑体_GBK" w:eastAsia="方正黑体_GBK" w:cs="宋体"/>
                <w:sz w:val="20"/>
                <w:szCs w:val="24"/>
              </w:rPr>
              <w:t>96008</w:t>
            </w:r>
          </w:p>
        </w:tc>
      </w:tr>
      <w:tr w14:paraId="45C2CAD9">
        <w:trPr>
          <w:trHeight w:val="300" w:hRule="atLeast"/>
        </w:trPr>
        <w:tc>
          <w:tcPr>
            <w:tcW w:w="2100" w:type="dxa"/>
            <w:tcMar>
              <w:left w:w="120" w:type="dxa"/>
            </w:tcMar>
            <w:vAlign w:val="center"/>
          </w:tcPr>
          <w:p w14:paraId="2F046FDD">
            <w:pPr>
              <w:spacing w:line="240" w:lineRule="auto"/>
              <w:rPr>
                <w:sz w:val="28"/>
                <w:szCs w:val="28"/>
              </w:rPr>
            </w:pPr>
            <w:r>
              <w:rPr>
                <w:rFonts w:ascii="方正黑体_GBK" w:hAnsi="方正黑体_GBK" w:eastAsia="方正黑体_GBK" w:cs="宋体"/>
                <w:sz w:val="20"/>
                <w:szCs w:val="24"/>
              </w:rPr>
              <w:t>江苏邳州农村商业银行股份有限公司</w:t>
            </w:r>
          </w:p>
        </w:tc>
        <w:tc>
          <w:tcPr>
            <w:tcW w:w="4050" w:type="dxa"/>
            <w:tcMar>
              <w:left w:w="120" w:type="dxa"/>
            </w:tcMar>
            <w:vAlign w:val="center"/>
          </w:tcPr>
          <w:p w14:paraId="5984E2AD">
            <w:pPr>
              <w:spacing w:line="240" w:lineRule="auto"/>
              <w:rPr>
                <w:sz w:val="28"/>
                <w:szCs w:val="28"/>
              </w:rPr>
            </w:pPr>
            <w:r>
              <w:rPr>
                <w:rFonts w:ascii="方正黑体_GBK" w:hAnsi="方正黑体_GBK" w:eastAsia="方正黑体_GBK" w:cs="宋体"/>
                <w:sz w:val="20"/>
                <w:szCs w:val="24"/>
              </w:rPr>
              <w:t>江苏省邳州市建设中路16号</w:t>
            </w:r>
          </w:p>
        </w:tc>
        <w:tc>
          <w:tcPr>
            <w:tcW w:w="1350" w:type="dxa"/>
            <w:tcMar>
              <w:left w:w="120" w:type="dxa"/>
            </w:tcMar>
            <w:vAlign w:val="center"/>
          </w:tcPr>
          <w:p w14:paraId="15132E78">
            <w:pPr>
              <w:spacing w:line="240" w:lineRule="auto"/>
              <w:rPr>
                <w:sz w:val="28"/>
                <w:szCs w:val="28"/>
              </w:rPr>
            </w:pPr>
            <w:r>
              <w:rPr>
                <w:rFonts w:ascii="方正黑体_GBK" w:hAnsi="方正黑体_GBK" w:eastAsia="方正黑体_GBK" w:cs="宋体"/>
                <w:sz w:val="20"/>
                <w:szCs w:val="24"/>
              </w:rPr>
              <w:t>96008</w:t>
            </w:r>
          </w:p>
        </w:tc>
      </w:tr>
      <w:tr w14:paraId="53296769">
        <w:trPr>
          <w:trHeight w:val="300" w:hRule="atLeast"/>
        </w:trPr>
        <w:tc>
          <w:tcPr>
            <w:tcW w:w="2100" w:type="dxa"/>
            <w:tcMar>
              <w:left w:w="120" w:type="dxa"/>
            </w:tcMar>
            <w:vAlign w:val="center"/>
          </w:tcPr>
          <w:p w14:paraId="0698D83F">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5EA5DF26">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10FE46E9">
            <w:pPr>
              <w:spacing w:line="240" w:lineRule="auto"/>
              <w:rPr>
                <w:sz w:val="28"/>
                <w:szCs w:val="28"/>
              </w:rPr>
            </w:pPr>
            <w:r>
              <w:rPr>
                <w:rFonts w:ascii="方正黑体_GBK" w:hAnsi="方正黑体_GBK" w:eastAsia="方正黑体_GBK" w:cs="宋体"/>
                <w:sz w:val="20"/>
                <w:szCs w:val="24"/>
              </w:rPr>
              <w:t>96008</w:t>
            </w:r>
          </w:p>
        </w:tc>
      </w:tr>
      <w:tr w14:paraId="3FD24DD6">
        <w:trPr>
          <w:trHeight w:val="300" w:hRule="atLeast"/>
        </w:trPr>
        <w:tc>
          <w:tcPr>
            <w:tcW w:w="2100" w:type="dxa"/>
            <w:tcMar>
              <w:left w:w="120" w:type="dxa"/>
            </w:tcMar>
            <w:vAlign w:val="center"/>
          </w:tcPr>
          <w:p w14:paraId="0C7E6B97">
            <w:pPr>
              <w:spacing w:line="240" w:lineRule="auto"/>
              <w:rPr>
                <w:sz w:val="28"/>
                <w:szCs w:val="28"/>
              </w:rPr>
            </w:pPr>
            <w:r>
              <w:rPr>
                <w:rFonts w:ascii="方正黑体_GBK" w:hAnsi="方正黑体_GBK" w:eastAsia="方正黑体_GBK" w:cs="宋体"/>
                <w:sz w:val="20"/>
                <w:szCs w:val="24"/>
              </w:rPr>
              <w:t>江苏盐城农村商业银行股份有限公司</w:t>
            </w:r>
          </w:p>
        </w:tc>
        <w:tc>
          <w:tcPr>
            <w:tcW w:w="4050" w:type="dxa"/>
            <w:tcMar>
              <w:left w:w="120" w:type="dxa"/>
            </w:tcMar>
            <w:vAlign w:val="center"/>
          </w:tcPr>
          <w:p w14:paraId="49A466BB">
            <w:pPr>
              <w:spacing w:line="240" w:lineRule="auto"/>
              <w:rPr>
                <w:sz w:val="28"/>
                <w:szCs w:val="28"/>
              </w:rPr>
            </w:pPr>
            <w:r>
              <w:rPr>
                <w:rFonts w:ascii="方正黑体_GBK" w:hAnsi="方正黑体_GBK" w:eastAsia="方正黑体_GBK" w:cs="宋体"/>
                <w:sz w:val="20"/>
                <w:szCs w:val="24"/>
              </w:rPr>
              <w:t>盐城市盐南高新区新都西路8号</w:t>
            </w:r>
          </w:p>
        </w:tc>
        <w:tc>
          <w:tcPr>
            <w:tcW w:w="1350" w:type="dxa"/>
            <w:tcMar>
              <w:left w:w="120" w:type="dxa"/>
            </w:tcMar>
            <w:vAlign w:val="center"/>
          </w:tcPr>
          <w:p w14:paraId="12283AF0">
            <w:pPr>
              <w:spacing w:line="240" w:lineRule="auto"/>
              <w:rPr>
                <w:sz w:val="28"/>
                <w:szCs w:val="28"/>
              </w:rPr>
            </w:pPr>
            <w:r>
              <w:rPr>
                <w:rFonts w:ascii="方正黑体_GBK" w:hAnsi="方正黑体_GBK" w:eastAsia="方正黑体_GBK" w:cs="宋体"/>
                <w:sz w:val="20"/>
                <w:szCs w:val="24"/>
              </w:rPr>
              <w:t>96008</w:t>
            </w:r>
          </w:p>
        </w:tc>
      </w:tr>
      <w:tr w14:paraId="4CC9400D">
        <w:trPr>
          <w:trHeight w:val="300" w:hRule="atLeast"/>
        </w:trPr>
        <w:tc>
          <w:tcPr>
            <w:tcW w:w="2100" w:type="dxa"/>
            <w:tcMar>
              <w:left w:w="120" w:type="dxa"/>
            </w:tcMar>
            <w:vAlign w:val="center"/>
          </w:tcPr>
          <w:p w14:paraId="0AC71720">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751ECED6">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109FC922">
            <w:pPr>
              <w:spacing w:line="240" w:lineRule="auto"/>
              <w:rPr>
                <w:sz w:val="28"/>
                <w:szCs w:val="28"/>
              </w:rPr>
            </w:pPr>
            <w:r>
              <w:rPr>
                <w:rFonts w:ascii="方正黑体_GBK" w:hAnsi="方正黑体_GBK" w:eastAsia="方正黑体_GBK" w:cs="宋体"/>
                <w:sz w:val="20"/>
                <w:szCs w:val="24"/>
              </w:rPr>
              <w:t>96008</w:t>
            </w:r>
          </w:p>
        </w:tc>
      </w:tr>
      <w:tr w14:paraId="11C57D7C">
        <w:trPr>
          <w:trHeight w:val="300" w:hRule="atLeast"/>
        </w:trPr>
        <w:tc>
          <w:tcPr>
            <w:tcW w:w="2100" w:type="dxa"/>
            <w:tcMar>
              <w:left w:w="120" w:type="dxa"/>
            </w:tcMar>
            <w:vAlign w:val="center"/>
          </w:tcPr>
          <w:p w14:paraId="163C5AD3">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2D6098FA">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06A7EF09">
            <w:pPr>
              <w:spacing w:line="240" w:lineRule="auto"/>
              <w:rPr>
                <w:sz w:val="28"/>
                <w:szCs w:val="28"/>
              </w:rPr>
            </w:pPr>
            <w:r>
              <w:rPr>
                <w:rFonts w:ascii="方正黑体_GBK" w:hAnsi="方正黑体_GBK" w:eastAsia="方正黑体_GBK" w:cs="宋体"/>
                <w:sz w:val="20"/>
                <w:szCs w:val="24"/>
              </w:rPr>
              <w:t>96008</w:t>
            </w:r>
          </w:p>
        </w:tc>
      </w:tr>
      <w:tr w14:paraId="346A9762">
        <w:trPr>
          <w:trHeight w:val="300" w:hRule="atLeast"/>
        </w:trPr>
        <w:tc>
          <w:tcPr>
            <w:tcW w:w="2100" w:type="dxa"/>
            <w:tcMar>
              <w:left w:w="120" w:type="dxa"/>
            </w:tcMar>
            <w:vAlign w:val="center"/>
          </w:tcPr>
          <w:p w14:paraId="25828340">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6D84325D">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30D458B6">
            <w:pPr>
              <w:spacing w:line="240" w:lineRule="auto"/>
              <w:rPr>
                <w:sz w:val="28"/>
                <w:szCs w:val="28"/>
              </w:rPr>
            </w:pPr>
            <w:r>
              <w:rPr>
                <w:rFonts w:ascii="方正黑体_GBK" w:hAnsi="方正黑体_GBK" w:eastAsia="方正黑体_GBK" w:cs="宋体"/>
                <w:sz w:val="20"/>
                <w:szCs w:val="24"/>
              </w:rPr>
              <w:t>96008</w:t>
            </w:r>
          </w:p>
        </w:tc>
      </w:tr>
      <w:tr w14:paraId="12233E3F">
        <w:trPr>
          <w:trHeight w:val="300" w:hRule="atLeast"/>
        </w:trPr>
        <w:tc>
          <w:tcPr>
            <w:tcW w:w="2100" w:type="dxa"/>
            <w:tcMar>
              <w:left w:w="120" w:type="dxa"/>
            </w:tcMar>
            <w:vAlign w:val="center"/>
          </w:tcPr>
          <w:p w14:paraId="479D3CF7">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490A06D9">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3CC9BDC5">
            <w:pPr>
              <w:spacing w:line="240" w:lineRule="auto"/>
              <w:rPr>
                <w:sz w:val="28"/>
                <w:szCs w:val="28"/>
              </w:rPr>
            </w:pPr>
            <w:r>
              <w:rPr>
                <w:rFonts w:ascii="方正黑体_GBK" w:hAnsi="方正黑体_GBK" w:eastAsia="方正黑体_GBK" w:cs="宋体"/>
                <w:sz w:val="20"/>
                <w:szCs w:val="24"/>
              </w:rPr>
              <w:t>96008</w:t>
            </w:r>
          </w:p>
        </w:tc>
      </w:tr>
      <w:tr w14:paraId="07081813">
        <w:trPr>
          <w:trHeight w:val="300" w:hRule="atLeast"/>
        </w:trPr>
        <w:tc>
          <w:tcPr>
            <w:tcW w:w="2100" w:type="dxa"/>
            <w:tcMar>
              <w:left w:w="120" w:type="dxa"/>
            </w:tcMar>
            <w:vAlign w:val="center"/>
          </w:tcPr>
          <w:p w14:paraId="6A7339BA">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021B955B">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2C55A6C8">
            <w:pPr>
              <w:spacing w:line="240" w:lineRule="auto"/>
              <w:rPr>
                <w:sz w:val="28"/>
                <w:szCs w:val="28"/>
              </w:rPr>
            </w:pPr>
            <w:r>
              <w:rPr>
                <w:rFonts w:ascii="方正黑体_GBK" w:hAnsi="方正黑体_GBK" w:eastAsia="方正黑体_GBK" w:cs="宋体"/>
                <w:sz w:val="20"/>
                <w:szCs w:val="24"/>
              </w:rPr>
              <w:t>96008</w:t>
            </w:r>
          </w:p>
        </w:tc>
      </w:tr>
      <w:tr w14:paraId="1D53CDD6">
        <w:trPr>
          <w:trHeight w:val="300" w:hRule="atLeast"/>
        </w:trPr>
        <w:tc>
          <w:tcPr>
            <w:tcW w:w="2100" w:type="dxa"/>
            <w:tcMar>
              <w:left w:w="120" w:type="dxa"/>
            </w:tcMar>
            <w:vAlign w:val="center"/>
          </w:tcPr>
          <w:p w14:paraId="2D1C21D3">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21B8E85E">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74FE3AA3">
            <w:pPr>
              <w:spacing w:line="240" w:lineRule="auto"/>
              <w:rPr>
                <w:sz w:val="28"/>
                <w:szCs w:val="28"/>
              </w:rPr>
            </w:pPr>
            <w:r>
              <w:rPr>
                <w:rFonts w:ascii="方正黑体_GBK" w:hAnsi="方正黑体_GBK" w:eastAsia="方正黑体_GBK" w:cs="宋体"/>
                <w:sz w:val="20"/>
                <w:szCs w:val="24"/>
              </w:rPr>
              <w:t>96008</w:t>
            </w:r>
          </w:p>
        </w:tc>
      </w:tr>
      <w:tr w14:paraId="532D6F7A">
        <w:trPr>
          <w:trHeight w:val="300" w:hRule="atLeast"/>
        </w:trPr>
        <w:tc>
          <w:tcPr>
            <w:tcW w:w="2100" w:type="dxa"/>
            <w:tcMar>
              <w:left w:w="120" w:type="dxa"/>
            </w:tcMar>
            <w:vAlign w:val="center"/>
          </w:tcPr>
          <w:p w14:paraId="755FA82F">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5A86F569">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3BC9F32A">
            <w:pPr>
              <w:spacing w:line="240" w:lineRule="auto"/>
              <w:rPr>
                <w:sz w:val="28"/>
                <w:szCs w:val="28"/>
              </w:rPr>
            </w:pPr>
            <w:r>
              <w:rPr>
                <w:rFonts w:ascii="方正黑体_GBK" w:hAnsi="方正黑体_GBK" w:eastAsia="方正黑体_GBK" w:cs="宋体"/>
                <w:sz w:val="20"/>
                <w:szCs w:val="24"/>
              </w:rPr>
              <w:t>96008</w:t>
            </w:r>
          </w:p>
        </w:tc>
      </w:tr>
      <w:tr w14:paraId="5FDC6970">
        <w:trPr>
          <w:trHeight w:val="300" w:hRule="atLeast"/>
        </w:trPr>
        <w:tc>
          <w:tcPr>
            <w:tcW w:w="2100" w:type="dxa"/>
            <w:tcMar>
              <w:left w:w="120" w:type="dxa"/>
            </w:tcMar>
            <w:vAlign w:val="center"/>
          </w:tcPr>
          <w:p w14:paraId="1865BBE6">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16418114">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1E77385C">
            <w:pPr>
              <w:spacing w:line="240" w:lineRule="auto"/>
              <w:rPr>
                <w:sz w:val="28"/>
                <w:szCs w:val="28"/>
              </w:rPr>
            </w:pPr>
            <w:r>
              <w:rPr>
                <w:rFonts w:ascii="方正黑体_GBK" w:hAnsi="方正黑体_GBK" w:eastAsia="方正黑体_GBK" w:cs="宋体"/>
                <w:sz w:val="20"/>
                <w:szCs w:val="24"/>
              </w:rPr>
              <w:t>96008</w:t>
            </w:r>
          </w:p>
        </w:tc>
      </w:tr>
      <w:tr w14:paraId="41749366">
        <w:trPr>
          <w:trHeight w:val="300" w:hRule="atLeast"/>
        </w:trPr>
        <w:tc>
          <w:tcPr>
            <w:tcW w:w="2100" w:type="dxa"/>
            <w:tcMar>
              <w:left w:w="120" w:type="dxa"/>
            </w:tcMar>
            <w:vAlign w:val="center"/>
          </w:tcPr>
          <w:p w14:paraId="0CD8177A">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48A42189">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62AA48ED">
            <w:pPr>
              <w:spacing w:line="240" w:lineRule="auto"/>
              <w:rPr>
                <w:sz w:val="28"/>
                <w:szCs w:val="28"/>
              </w:rPr>
            </w:pPr>
            <w:r>
              <w:rPr>
                <w:rFonts w:ascii="方正黑体_GBK" w:hAnsi="方正黑体_GBK" w:eastAsia="方正黑体_GBK" w:cs="宋体"/>
                <w:sz w:val="20"/>
                <w:szCs w:val="24"/>
              </w:rPr>
              <w:t>96008</w:t>
            </w:r>
          </w:p>
        </w:tc>
      </w:tr>
      <w:tr w14:paraId="51B89A50">
        <w:trPr>
          <w:trHeight w:val="300" w:hRule="atLeast"/>
        </w:trPr>
        <w:tc>
          <w:tcPr>
            <w:tcW w:w="2100" w:type="dxa"/>
            <w:tcMar>
              <w:left w:w="120" w:type="dxa"/>
            </w:tcMar>
            <w:vAlign w:val="center"/>
          </w:tcPr>
          <w:p w14:paraId="2AE31920">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2B4159CE">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0289873B">
            <w:pPr>
              <w:spacing w:line="240" w:lineRule="auto"/>
              <w:rPr>
                <w:sz w:val="28"/>
                <w:szCs w:val="28"/>
              </w:rPr>
            </w:pPr>
            <w:r>
              <w:rPr>
                <w:rFonts w:ascii="方正黑体_GBK" w:hAnsi="方正黑体_GBK" w:eastAsia="方正黑体_GBK" w:cs="宋体"/>
                <w:sz w:val="20"/>
                <w:szCs w:val="24"/>
              </w:rPr>
              <w:t>96008</w:t>
            </w:r>
          </w:p>
        </w:tc>
      </w:tr>
      <w:tr w14:paraId="565F26D1">
        <w:trPr>
          <w:trHeight w:val="300" w:hRule="atLeast"/>
        </w:trPr>
        <w:tc>
          <w:tcPr>
            <w:tcW w:w="2100" w:type="dxa"/>
            <w:tcMar>
              <w:left w:w="120" w:type="dxa"/>
            </w:tcMar>
            <w:vAlign w:val="center"/>
          </w:tcPr>
          <w:p w14:paraId="2D0DF725">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143141C6">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759FD7CB">
            <w:pPr>
              <w:spacing w:line="240" w:lineRule="auto"/>
              <w:rPr>
                <w:sz w:val="28"/>
                <w:szCs w:val="28"/>
              </w:rPr>
            </w:pPr>
            <w:r>
              <w:rPr>
                <w:rFonts w:ascii="方正黑体_GBK" w:hAnsi="方正黑体_GBK" w:eastAsia="方正黑体_GBK" w:cs="宋体"/>
                <w:sz w:val="20"/>
                <w:szCs w:val="24"/>
              </w:rPr>
              <w:t>96008</w:t>
            </w:r>
          </w:p>
        </w:tc>
      </w:tr>
      <w:tr w14:paraId="39DE8E17">
        <w:trPr>
          <w:trHeight w:val="300" w:hRule="atLeast"/>
        </w:trPr>
        <w:tc>
          <w:tcPr>
            <w:tcW w:w="2100" w:type="dxa"/>
            <w:tcMar>
              <w:left w:w="120" w:type="dxa"/>
            </w:tcMar>
            <w:vAlign w:val="center"/>
          </w:tcPr>
          <w:p w14:paraId="1DBBFD7B">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25C39413">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3D010471">
            <w:pPr>
              <w:spacing w:line="240" w:lineRule="auto"/>
              <w:rPr>
                <w:sz w:val="28"/>
                <w:szCs w:val="28"/>
              </w:rPr>
            </w:pPr>
            <w:r>
              <w:rPr>
                <w:rFonts w:ascii="方正黑体_GBK" w:hAnsi="方正黑体_GBK" w:eastAsia="方正黑体_GBK" w:cs="宋体"/>
                <w:sz w:val="20"/>
                <w:szCs w:val="24"/>
              </w:rPr>
              <w:t>96008</w:t>
            </w:r>
          </w:p>
        </w:tc>
      </w:tr>
      <w:tr w14:paraId="3D8BB4BC">
        <w:trPr>
          <w:trHeight w:val="300" w:hRule="atLeast"/>
        </w:trPr>
        <w:tc>
          <w:tcPr>
            <w:tcW w:w="2100" w:type="dxa"/>
            <w:tcMar>
              <w:left w:w="120" w:type="dxa"/>
            </w:tcMar>
            <w:vAlign w:val="center"/>
          </w:tcPr>
          <w:p w14:paraId="08F4B6C0">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0CEC501E">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57107903">
            <w:pPr>
              <w:spacing w:line="240" w:lineRule="auto"/>
              <w:rPr>
                <w:sz w:val="28"/>
                <w:szCs w:val="28"/>
              </w:rPr>
            </w:pPr>
            <w:r>
              <w:rPr>
                <w:rFonts w:ascii="方正黑体_GBK" w:hAnsi="方正黑体_GBK" w:eastAsia="方正黑体_GBK" w:cs="宋体"/>
                <w:sz w:val="20"/>
                <w:szCs w:val="24"/>
              </w:rPr>
              <w:t>96008</w:t>
            </w:r>
          </w:p>
        </w:tc>
      </w:tr>
      <w:tr w14:paraId="21DDA265">
        <w:trPr>
          <w:trHeight w:val="300" w:hRule="atLeast"/>
        </w:trPr>
        <w:tc>
          <w:tcPr>
            <w:tcW w:w="2100" w:type="dxa"/>
            <w:tcMar>
              <w:left w:w="120" w:type="dxa"/>
            </w:tcMar>
            <w:vAlign w:val="center"/>
          </w:tcPr>
          <w:p w14:paraId="0393546B">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6B275428">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7ACADB93">
            <w:pPr>
              <w:spacing w:line="240" w:lineRule="auto"/>
              <w:rPr>
                <w:sz w:val="28"/>
                <w:szCs w:val="28"/>
              </w:rPr>
            </w:pPr>
            <w:r>
              <w:rPr>
                <w:rFonts w:ascii="方正黑体_GBK" w:hAnsi="方正黑体_GBK" w:eastAsia="方正黑体_GBK" w:cs="宋体"/>
                <w:sz w:val="20"/>
                <w:szCs w:val="24"/>
              </w:rPr>
              <w:t>96008</w:t>
            </w:r>
          </w:p>
        </w:tc>
      </w:tr>
      <w:tr w14:paraId="5B9222F7">
        <w:trPr>
          <w:trHeight w:val="300" w:hRule="atLeast"/>
        </w:trPr>
        <w:tc>
          <w:tcPr>
            <w:tcW w:w="2100" w:type="dxa"/>
            <w:tcMar>
              <w:left w:w="120" w:type="dxa"/>
            </w:tcMar>
            <w:vAlign w:val="center"/>
          </w:tcPr>
          <w:p w14:paraId="5123652A">
            <w:pPr>
              <w:spacing w:line="240" w:lineRule="auto"/>
              <w:rPr>
                <w:sz w:val="28"/>
                <w:szCs w:val="28"/>
              </w:rPr>
            </w:pPr>
            <w:r>
              <w:rPr>
                <w:rFonts w:ascii="方正黑体_GBK" w:hAnsi="方正黑体_GBK" w:eastAsia="方正黑体_GBK" w:cs="宋体"/>
                <w:sz w:val="20"/>
                <w:szCs w:val="24"/>
              </w:rPr>
              <w:t>枣庄银行股份有限公司</w:t>
            </w:r>
          </w:p>
        </w:tc>
        <w:tc>
          <w:tcPr>
            <w:tcW w:w="4050" w:type="dxa"/>
            <w:tcMar>
              <w:left w:w="120" w:type="dxa"/>
            </w:tcMar>
            <w:vAlign w:val="center"/>
          </w:tcPr>
          <w:p w14:paraId="597522F6">
            <w:pPr>
              <w:spacing w:line="240" w:lineRule="auto"/>
              <w:rPr>
                <w:sz w:val="28"/>
                <w:szCs w:val="28"/>
              </w:rPr>
            </w:pPr>
            <w:r>
              <w:rPr>
                <w:rFonts w:ascii="方正黑体_GBK" w:hAnsi="方正黑体_GBK" w:eastAsia="方正黑体_GBK" w:cs="宋体"/>
                <w:sz w:val="20"/>
                <w:szCs w:val="24"/>
              </w:rPr>
              <w:t>山东省枣庄市薛城区光明大道1666号</w:t>
            </w:r>
          </w:p>
        </w:tc>
        <w:tc>
          <w:tcPr>
            <w:tcW w:w="1350" w:type="dxa"/>
            <w:tcMar>
              <w:left w:w="120" w:type="dxa"/>
            </w:tcMar>
            <w:vAlign w:val="center"/>
          </w:tcPr>
          <w:p w14:paraId="4C237A64">
            <w:pPr>
              <w:spacing w:line="240" w:lineRule="auto"/>
              <w:rPr>
                <w:sz w:val="28"/>
                <w:szCs w:val="28"/>
              </w:rPr>
            </w:pPr>
            <w:r>
              <w:rPr>
                <w:rFonts w:ascii="方正黑体_GBK" w:hAnsi="方正黑体_GBK" w:eastAsia="方正黑体_GBK" w:cs="宋体"/>
                <w:sz w:val="20"/>
                <w:szCs w:val="24"/>
              </w:rPr>
              <w:t>4008196588</w:t>
            </w:r>
          </w:p>
        </w:tc>
      </w:tr>
      <w:tr w14:paraId="299FBBC2">
        <w:trPr>
          <w:trHeight w:val="300" w:hRule="atLeast"/>
        </w:trPr>
        <w:tc>
          <w:tcPr>
            <w:tcW w:w="2100" w:type="dxa"/>
            <w:tcMar>
              <w:left w:w="120" w:type="dxa"/>
            </w:tcMar>
            <w:vAlign w:val="center"/>
          </w:tcPr>
          <w:p w14:paraId="26427177">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2C176305">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2040F25C">
            <w:pPr>
              <w:spacing w:line="240" w:lineRule="auto"/>
              <w:rPr>
                <w:sz w:val="28"/>
                <w:szCs w:val="28"/>
              </w:rPr>
            </w:pPr>
            <w:r>
              <w:rPr>
                <w:rFonts w:ascii="方正黑体_GBK" w:hAnsi="方正黑体_GBK" w:eastAsia="方正黑体_GBK" w:cs="宋体"/>
                <w:sz w:val="20"/>
                <w:szCs w:val="24"/>
              </w:rPr>
              <w:t>0898-66505978</w:t>
            </w:r>
          </w:p>
        </w:tc>
      </w:tr>
      <w:tr w14:paraId="74A7E7A4">
        <w:trPr>
          <w:trHeight w:val="300" w:hRule="atLeast"/>
        </w:trPr>
        <w:tc>
          <w:tcPr>
            <w:tcW w:w="2100" w:type="dxa"/>
            <w:tcMar>
              <w:left w:w="120" w:type="dxa"/>
            </w:tcMar>
            <w:vAlign w:val="center"/>
          </w:tcPr>
          <w:p w14:paraId="13EE43FE">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6EC85A12">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1D7646E0">
            <w:pPr>
              <w:spacing w:line="240" w:lineRule="auto"/>
              <w:rPr>
                <w:sz w:val="28"/>
                <w:szCs w:val="28"/>
              </w:rPr>
            </w:pPr>
            <w:r>
              <w:rPr>
                <w:rFonts w:ascii="方正黑体_GBK" w:hAnsi="方正黑体_GBK" w:eastAsia="方正黑体_GBK" w:cs="宋体"/>
                <w:sz w:val="20"/>
                <w:szCs w:val="24"/>
              </w:rPr>
              <w:t>96008</w:t>
            </w:r>
          </w:p>
        </w:tc>
      </w:tr>
      <w:tr w14:paraId="63CCC71E">
        <w:trPr>
          <w:trHeight w:val="300" w:hRule="atLeast"/>
        </w:trPr>
        <w:tc>
          <w:tcPr>
            <w:tcW w:w="2100" w:type="dxa"/>
            <w:tcMar>
              <w:left w:w="120" w:type="dxa"/>
            </w:tcMar>
            <w:vAlign w:val="center"/>
          </w:tcPr>
          <w:p w14:paraId="4993B0A0">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463C997C">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694E8835">
            <w:pPr>
              <w:spacing w:line="240" w:lineRule="auto"/>
              <w:rPr>
                <w:sz w:val="28"/>
                <w:szCs w:val="28"/>
              </w:rPr>
            </w:pPr>
            <w:r>
              <w:rPr>
                <w:rFonts w:ascii="方正黑体_GBK" w:hAnsi="方正黑体_GBK" w:eastAsia="方正黑体_GBK" w:cs="宋体"/>
                <w:sz w:val="20"/>
                <w:szCs w:val="24"/>
              </w:rPr>
              <w:t>96008</w:t>
            </w:r>
          </w:p>
        </w:tc>
      </w:tr>
      <w:tr w14:paraId="5063EDF3">
        <w:trPr>
          <w:trHeight w:val="300" w:hRule="atLeast"/>
        </w:trPr>
        <w:tc>
          <w:tcPr>
            <w:tcW w:w="2100" w:type="dxa"/>
            <w:tcMar>
              <w:left w:w="120" w:type="dxa"/>
            </w:tcMar>
            <w:vAlign w:val="center"/>
          </w:tcPr>
          <w:p w14:paraId="407F9CD7">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425A20D8">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09C7AF42">
            <w:pPr>
              <w:spacing w:line="240" w:lineRule="auto"/>
              <w:rPr>
                <w:sz w:val="28"/>
                <w:szCs w:val="28"/>
              </w:rPr>
            </w:pPr>
            <w:r>
              <w:rPr>
                <w:rFonts w:ascii="方正黑体_GBK" w:hAnsi="方正黑体_GBK" w:eastAsia="方正黑体_GBK" w:cs="宋体"/>
                <w:sz w:val="20"/>
                <w:szCs w:val="24"/>
              </w:rPr>
              <w:t>96008</w:t>
            </w:r>
          </w:p>
        </w:tc>
      </w:tr>
      <w:tr w14:paraId="49EC4C75">
        <w:trPr>
          <w:trHeight w:val="300" w:hRule="atLeast"/>
        </w:trPr>
        <w:tc>
          <w:tcPr>
            <w:tcW w:w="2100" w:type="dxa"/>
            <w:tcMar>
              <w:left w:w="120" w:type="dxa"/>
            </w:tcMar>
            <w:vAlign w:val="center"/>
          </w:tcPr>
          <w:p w14:paraId="121E0C3A">
            <w:pPr>
              <w:spacing w:line="240" w:lineRule="auto"/>
              <w:rPr>
                <w:sz w:val="28"/>
                <w:szCs w:val="28"/>
              </w:rPr>
            </w:pPr>
            <w:r>
              <w:rPr>
                <w:rFonts w:ascii="方正黑体_GBK" w:hAnsi="方正黑体_GBK" w:eastAsia="方正黑体_GBK" w:cs="宋体"/>
                <w:sz w:val="20"/>
                <w:szCs w:val="24"/>
              </w:rPr>
              <w:t>烟台银行股份有限公司</w:t>
            </w:r>
          </w:p>
        </w:tc>
        <w:tc>
          <w:tcPr>
            <w:tcW w:w="4050" w:type="dxa"/>
            <w:tcMar>
              <w:left w:w="120" w:type="dxa"/>
            </w:tcMar>
            <w:vAlign w:val="center"/>
          </w:tcPr>
          <w:p w14:paraId="137852F9">
            <w:pPr>
              <w:spacing w:line="240" w:lineRule="auto"/>
              <w:rPr>
                <w:sz w:val="28"/>
                <w:szCs w:val="28"/>
              </w:rPr>
            </w:pPr>
            <w:r>
              <w:rPr>
                <w:rFonts w:ascii="方正黑体_GBK" w:hAnsi="方正黑体_GBK" w:eastAsia="方正黑体_GBK" w:cs="宋体"/>
                <w:sz w:val="20"/>
                <w:szCs w:val="24"/>
              </w:rPr>
              <w:t>烟台市芝罘区海港路25号</w:t>
            </w:r>
          </w:p>
        </w:tc>
        <w:tc>
          <w:tcPr>
            <w:tcW w:w="1350" w:type="dxa"/>
            <w:tcMar>
              <w:left w:w="120" w:type="dxa"/>
            </w:tcMar>
            <w:vAlign w:val="center"/>
          </w:tcPr>
          <w:p w14:paraId="3AEF2DA9">
            <w:pPr>
              <w:spacing w:line="240" w:lineRule="auto"/>
              <w:rPr>
                <w:sz w:val="28"/>
                <w:szCs w:val="28"/>
              </w:rPr>
            </w:pPr>
            <w:r>
              <w:rPr>
                <w:rFonts w:ascii="方正黑体_GBK" w:hAnsi="方正黑体_GBK" w:eastAsia="方正黑体_GBK" w:cs="宋体"/>
                <w:sz w:val="20"/>
                <w:szCs w:val="24"/>
              </w:rPr>
              <w:t>0535-6691305</w:t>
            </w:r>
          </w:p>
        </w:tc>
      </w:tr>
      <w:tr w14:paraId="68D30770">
        <w:trPr>
          <w:trHeight w:val="300" w:hRule="atLeast"/>
        </w:trPr>
        <w:tc>
          <w:tcPr>
            <w:tcW w:w="2100" w:type="dxa"/>
            <w:tcMar>
              <w:left w:w="120" w:type="dxa"/>
            </w:tcMar>
            <w:vAlign w:val="center"/>
          </w:tcPr>
          <w:p w14:paraId="3A5A8AD0">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48EA5CC0">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5086B862">
            <w:pPr>
              <w:spacing w:line="240" w:lineRule="auto"/>
              <w:rPr>
                <w:sz w:val="28"/>
                <w:szCs w:val="28"/>
              </w:rPr>
            </w:pPr>
            <w:r>
              <w:rPr>
                <w:rFonts w:ascii="方正黑体_GBK" w:hAnsi="方正黑体_GBK" w:eastAsia="方正黑体_GBK" w:cs="宋体"/>
                <w:sz w:val="20"/>
                <w:szCs w:val="24"/>
              </w:rPr>
              <w:t>96008</w:t>
            </w:r>
          </w:p>
        </w:tc>
      </w:tr>
      <w:tr w14:paraId="3D7D192E">
        <w:trPr>
          <w:trHeight w:val="300" w:hRule="atLeast"/>
        </w:trPr>
        <w:tc>
          <w:tcPr>
            <w:tcW w:w="2100" w:type="dxa"/>
            <w:tcMar>
              <w:left w:w="120" w:type="dxa"/>
            </w:tcMar>
            <w:vAlign w:val="center"/>
          </w:tcPr>
          <w:p w14:paraId="56A8DCF6">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7C8E7792">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0C9C61BD">
            <w:pPr>
              <w:spacing w:line="240" w:lineRule="auto"/>
              <w:rPr>
                <w:sz w:val="28"/>
                <w:szCs w:val="28"/>
              </w:rPr>
            </w:pPr>
            <w:r>
              <w:rPr>
                <w:rFonts w:ascii="方正黑体_GBK" w:hAnsi="方正黑体_GBK" w:eastAsia="方正黑体_GBK" w:cs="宋体"/>
                <w:sz w:val="20"/>
                <w:szCs w:val="24"/>
              </w:rPr>
              <w:t>96008</w:t>
            </w:r>
          </w:p>
        </w:tc>
      </w:tr>
      <w:tr w14:paraId="1AC39B1F">
        <w:trPr>
          <w:trHeight w:val="300" w:hRule="atLeast"/>
        </w:trPr>
        <w:tc>
          <w:tcPr>
            <w:tcW w:w="2100" w:type="dxa"/>
            <w:tcMar>
              <w:left w:w="120" w:type="dxa"/>
            </w:tcMar>
            <w:vAlign w:val="center"/>
          </w:tcPr>
          <w:p w14:paraId="1DE7AC59">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2F87F1DD">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38856C19">
            <w:pPr>
              <w:spacing w:line="240" w:lineRule="auto"/>
              <w:rPr>
                <w:sz w:val="28"/>
                <w:szCs w:val="28"/>
              </w:rPr>
            </w:pPr>
            <w:r>
              <w:rPr>
                <w:rFonts w:ascii="方正黑体_GBK" w:hAnsi="方正黑体_GBK" w:eastAsia="方正黑体_GBK" w:cs="宋体"/>
                <w:sz w:val="20"/>
                <w:szCs w:val="24"/>
              </w:rPr>
              <w:t>96065</w:t>
            </w:r>
          </w:p>
        </w:tc>
      </w:tr>
      <w:tr w14:paraId="565C0D63">
        <w:trPr>
          <w:trHeight w:val="300" w:hRule="atLeast"/>
        </w:trPr>
        <w:tc>
          <w:tcPr>
            <w:tcW w:w="2100" w:type="dxa"/>
            <w:tcMar>
              <w:left w:w="120" w:type="dxa"/>
            </w:tcMar>
            <w:vAlign w:val="center"/>
          </w:tcPr>
          <w:p w14:paraId="2B2D8B39">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3D102A31">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0F44A2BD">
            <w:pPr>
              <w:spacing w:line="240" w:lineRule="auto"/>
              <w:rPr>
                <w:sz w:val="28"/>
                <w:szCs w:val="28"/>
              </w:rPr>
            </w:pPr>
            <w:r>
              <w:rPr>
                <w:rFonts w:ascii="方正黑体_GBK" w:hAnsi="方正黑体_GBK" w:eastAsia="方正黑体_GBK" w:cs="宋体"/>
                <w:sz w:val="20"/>
                <w:szCs w:val="24"/>
              </w:rPr>
              <w:t>96078</w:t>
            </w:r>
          </w:p>
        </w:tc>
      </w:tr>
      <w:tr w14:paraId="0AD48C86">
        <w:trPr>
          <w:trHeight w:val="300" w:hRule="atLeast"/>
        </w:trPr>
        <w:tc>
          <w:tcPr>
            <w:tcW w:w="2100" w:type="dxa"/>
            <w:tcMar>
              <w:left w:w="120" w:type="dxa"/>
            </w:tcMar>
            <w:vAlign w:val="center"/>
          </w:tcPr>
          <w:p w14:paraId="224593A6">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2810BDAC">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06F5C442">
            <w:pPr>
              <w:spacing w:line="240" w:lineRule="auto"/>
              <w:rPr>
                <w:sz w:val="28"/>
                <w:szCs w:val="28"/>
              </w:rPr>
            </w:pPr>
            <w:r>
              <w:rPr>
                <w:rFonts w:ascii="方正黑体_GBK" w:hAnsi="方正黑体_GBK" w:eastAsia="方正黑体_GBK" w:cs="宋体"/>
                <w:sz w:val="20"/>
                <w:szCs w:val="24"/>
              </w:rPr>
              <w:t>96008</w:t>
            </w:r>
          </w:p>
        </w:tc>
      </w:tr>
      <w:tr w14:paraId="72DB6C7D">
        <w:trPr>
          <w:trHeight w:val="300" w:hRule="atLeast"/>
        </w:trPr>
        <w:tc>
          <w:tcPr>
            <w:tcW w:w="2100" w:type="dxa"/>
            <w:tcMar>
              <w:left w:w="120" w:type="dxa"/>
            </w:tcMar>
            <w:vAlign w:val="center"/>
          </w:tcPr>
          <w:p w14:paraId="148CF341">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1AAED6C0">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1CFAEBAA">
            <w:pPr>
              <w:spacing w:line="240" w:lineRule="auto"/>
              <w:rPr>
                <w:sz w:val="28"/>
                <w:szCs w:val="28"/>
              </w:rPr>
            </w:pPr>
            <w:r>
              <w:rPr>
                <w:rFonts w:ascii="方正黑体_GBK" w:hAnsi="方正黑体_GBK" w:eastAsia="方正黑体_GBK" w:cs="宋体"/>
                <w:sz w:val="20"/>
                <w:szCs w:val="24"/>
              </w:rPr>
              <w:t>96008</w:t>
            </w:r>
          </w:p>
        </w:tc>
      </w:tr>
      <w:tr w14:paraId="289F386C">
        <w:trPr>
          <w:trHeight w:val="300" w:hRule="atLeast"/>
        </w:trPr>
        <w:tc>
          <w:tcPr>
            <w:tcW w:w="2100" w:type="dxa"/>
            <w:tcMar>
              <w:left w:w="120" w:type="dxa"/>
            </w:tcMar>
            <w:vAlign w:val="center"/>
          </w:tcPr>
          <w:p w14:paraId="39C05D09">
            <w:pPr>
              <w:spacing w:line="240" w:lineRule="auto"/>
              <w:rPr>
                <w:sz w:val="28"/>
                <w:szCs w:val="28"/>
              </w:rPr>
            </w:pPr>
            <w:r>
              <w:rPr>
                <w:rFonts w:ascii="方正黑体_GBK" w:hAnsi="方正黑体_GBK" w:eastAsia="方正黑体_GBK" w:cs="宋体"/>
                <w:sz w:val="20"/>
                <w:szCs w:val="24"/>
              </w:rPr>
              <w:t>廊坊银行股份有限公司</w:t>
            </w:r>
          </w:p>
        </w:tc>
        <w:tc>
          <w:tcPr>
            <w:tcW w:w="4050" w:type="dxa"/>
            <w:tcMar>
              <w:left w:w="120" w:type="dxa"/>
            </w:tcMar>
            <w:vAlign w:val="center"/>
          </w:tcPr>
          <w:p w14:paraId="1A33D4E5">
            <w:pPr>
              <w:spacing w:line="240" w:lineRule="auto"/>
              <w:rPr>
                <w:sz w:val="28"/>
                <w:szCs w:val="28"/>
              </w:rPr>
            </w:pPr>
            <w:r>
              <w:rPr>
                <w:rFonts w:ascii="方正黑体_GBK" w:hAnsi="方正黑体_GBK" w:eastAsia="方正黑体_GBK" w:cs="宋体"/>
                <w:sz w:val="20"/>
                <w:szCs w:val="24"/>
              </w:rPr>
              <w:t>河北省廊坊市广阳区广阳道 31 号</w:t>
            </w:r>
          </w:p>
        </w:tc>
        <w:tc>
          <w:tcPr>
            <w:tcW w:w="1350" w:type="dxa"/>
            <w:tcMar>
              <w:left w:w="120" w:type="dxa"/>
            </w:tcMar>
            <w:vAlign w:val="center"/>
          </w:tcPr>
          <w:p w14:paraId="7E3E0BD7">
            <w:pPr>
              <w:spacing w:line="240" w:lineRule="auto"/>
              <w:rPr>
                <w:sz w:val="28"/>
                <w:szCs w:val="28"/>
              </w:rPr>
            </w:pPr>
            <w:r>
              <w:rPr>
                <w:rFonts w:ascii="方正黑体_GBK" w:hAnsi="方正黑体_GBK" w:eastAsia="方正黑体_GBK" w:cs="宋体"/>
                <w:sz w:val="20"/>
                <w:szCs w:val="24"/>
              </w:rPr>
              <w:t>400-620-0099</w:t>
            </w:r>
          </w:p>
        </w:tc>
      </w:tr>
      <w:tr w14:paraId="2EEDAD9D">
        <w:trPr>
          <w:trHeight w:val="300" w:hRule="atLeast"/>
        </w:trPr>
        <w:tc>
          <w:tcPr>
            <w:tcW w:w="2100" w:type="dxa"/>
            <w:tcMar>
              <w:left w:w="120" w:type="dxa"/>
            </w:tcMar>
            <w:vAlign w:val="center"/>
          </w:tcPr>
          <w:p w14:paraId="61D55DDB">
            <w:pPr>
              <w:spacing w:line="240" w:lineRule="auto"/>
              <w:rPr>
                <w:sz w:val="28"/>
                <w:szCs w:val="28"/>
              </w:rPr>
            </w:pPr>
            <w:r>
              <w:rPr>
                <w:rFonts w:ascii="方正黑体_GBK" w:hAnsi="方正黑体_GBK" w:eastAsia="方正黑体_GBK" w:cs="宋体"/>
                <w:sz w:val="20"/>
                <w:szCs w:val="24"/>
              </w:rPr>
              <w:t>徽商银行股份有限公司</w:t>
            </w:r>
          </w:p>
        </w:tc>
        <w:tc>
          <w:tcPr>
            <w:tcW w:w="4050" w:type="dxa"/>
            <w:tcMar>
              <w:left w:w="120" w:type="dxa"/>
            </w:tcMar>
            <w:vAlign w:val="center"/>
          </w:tcPr>
          <w:p w14:paraId="58B67FF8">
            <w:pPr>
              <w:spacing w:line="240" w:lineRule="auto"/>
              <w:rPr>
                <w:sz w:val="28"/>
                <w:szCs w:val="28"/>
              </w:rPr>
            </w:pPr>
            <w:r>
              <w:rPr>
                <w:rFonts w:ascii="方正黑体_GBK" w:hAnsi="方正黑体_GBK" w:eastAsia="方正黑体_GBK" w:cs="宋体"/>
                <w:sz w:val="20"/>
                <w:szCs w:val="24"/>
              </w:rPr>
              <w:t>安徽省合肥市云谷路1699号徽银大厦</w:t>
            </w:r>
          </w:p>
        </w:tc>
        <w:tc>
          <w:tcPr>
            <w:tcW w:w="1350" w:type="dxa"/>
            <w:tcMar>
              <w:left w:w="120" w:type="dxa"/>
            </w:tcMar>
            <w:vAlign w:val="center"/>
          </w:tcPr>
          <w:p w14:paraId="16F6C944">
            <w:pPr>
              <w:spacing w:line="240" w:lineRule="auto"/>
              <w:rPr>
                <w:sz w:val="28"/>
                <w:szCs w:val="28"/>
              </w:rPr>
            </w:pPr>
            <w:r>
              <w:rPr>
                <w:rFonts w:ascii="方正黑体_GBK" w:hAnsi="方正黑体_GBK" w:eastAsia="方正黑体_GBK" w:cs="宋体"/>
                <w:sz w:val="20"/>
                <w:szCs w:val="24"/>
              </w:rPr>
              <w:t>40088-96588</w:t>
            </w:r>
          </w:p>
        </w:tc>
      </w:tr>
      <w:tr w14:paraId="0B6E69B5">
        <w:trPr>
          <w:trHeight w:val="300" w:hRule="atLeast"/>
        </w:trPr>
        <w:tc>
          <w:tcPr>
            <w:tcW w:w="2100" w:type="dxa"/>
            <w:tcMar>
              <w:left w:w="120" w:type="dxa"/>
            </w:tcMar>
            <w:vAlign w:val="center"/>
          </w:tcPr>
          <w:p w14:paraId="4BD8064A">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0F74488B">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185F20D3">
            <w:pPr>
              <w:spacing w:line="240" w:lineRule="auto"/>
              <w:rPr>
                <w:sz w:val="28"/>
                <w:szCs w:val="28"/>
              </w:rPr>
            </w:pPr>
            <w:r>
              <w:rPr>
                <w:rFonts w:ascii="方正黑体_GBK" w:hAnsi="方正黑体_GBK" w:eastAsia="方正黑体_GBK" w:cs="宋体"/>
                <w:sz w:val="20"/>
                <w:szCs w:val="24"/>
              </w:rPr>
              <w:t>95097</w:t>
            </w:r>
          </w:p>
        </w:tc>
      </w:tr>
      <w:tr w14:paraId="261C9196">
        <w:trPr>
          <w:trHeight w:val="300" w:hRule="atLeast"/>
        </w:trPr>
        <w:tc>
          <w:tcPr>
            <w:tcW w:w="2100" w:type="dxa"/>
            <w:tcMar>
              <w:left w:w="120" w:type="dxa"/>
            </w:tcMar>
            <w:vAlign w:val="center"/>
          </w:tcPr>
          <w:p w14:paraId="4D607BE4">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6AF1F71F">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22EBEDB6">
            <w:pPr>
              <w:spacing w:line="240" w:lineRule="auto"/>
              <w:rPr>
                <w:sz w:val="28"/>
                <w:szCs w:val="28"/>
              </w:rPr>
            </w:pPr>
            <w:r>
              <w:rPr>
                <w:rFonts w:ascii="方正黑体_GBK" w:hAnsi="方正黑体_GBK" w:eastAsia="方正黑体_GBK" w:cs="宋体"/>
                <w:sz w:val="20"/>
                <w:szCs w:val="24"/>
              </w:rPr>
              <w:t>96008</w:t>
            </w:r>
          </w:p>
        </w:tc>
      </w:tr>
      <w:tr w14:paraId="07529700">
        <w:trPr>
          <w:trHeight w:val="300" w:hRule="atLeast"/>
        </w:trPr>
        <w:tc>
          <w:tcPr>
            <w:tcW w:w="2100" w:type="dxa"/>
            <w:tcMar>
              <w:left w:w="120" w:type="dxa"/>
            </w:tcMar>
            <w:vAlign w:val="center"/>
          </w:tcPr>
          <w:p w14:paraId="4B160211">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4ABB37AA">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14270160">
            <w:pPr>
              <w:spacing w:line="240" w:lineRule="auto"/>
              <w:rPr>
                <w:sz w:val="28"/>
                <w:szCs w:val="28"/>
              </w:rPr>
            </w:pPr>
            <w:r>
              <w:rPr>
                <w:rFonts w:ascii="方正黑体_GBK" w:hAnsi="方正黑体_GBK" w:eastAsia="方正黑体_GBK" w:cs="宋体"/>
                <w:sz w:val="20"/>
                <w:szCs w:val="24"/>
              </w:rPr>
              <w:t>0351-96588</w:t>
            </w:r>
          </w:p>
        </w:tc>
      </w:tr>
      <w:tr w14:paraId="2E026EAE">
        <w:trPr>
          <w:trHeight w:val="300" w:hRule="atLeast"/>
        </w:trPr>
        <w:tc>
          <w:tcPr>
            <w:tcW w:w="2100" w:type="dxa"/>
            <w:tcMar>
              <w:left w:w="120" w:type="dxa"/>
            </w:tcMar>
            <w:vAlign w:val="center"/>
          </w:tcPr>
          <w:p w14:paraId="25B584F8">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57960871">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159377F3">
            <w:pPr>
              <w:spacing w:line="240" w:lineRule="auto"/>
              <w:rPr>
                <w:sz w:val="28"/>
                <w:szCs w:val="28"/>
              </w:rPr>
            </w:pPr>
            <w:r>
              <w:rPr>
                <w:rFonts w:ascii="方正黑体_GBK" w:hAnsi="方正黑体_GBK" w:eastAsia="方正黑体_GBK" w:cs="宋体"/>
                <w:sz w:val="20"/>
                <w:szCs w:val="24"/>
              </w:rPr>
              <w:t>96008</w:t>
            </w:r>
          </w:p>
        </w:tc>
      </w:tr>
      <w:tr w14:paraId="0824F212">
        <w:trPr>
          <w:trHeight w:val="300" w:hRule="atLeast"/>
        </w:trPr>
        <w:tc>
          <w:tcPr>
            <w:tcW w:w="2100" w:type="dxa"/>
            <w:tcMar>
              <w:left w:w="120" w:type="dxa"/>
            </w:tcMar>
            <w:vAlign w:val="center"/>
          </w:tcPr>
          <w:p w14:paraId="1CE361CB">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749B66F9">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646AB424">
            <w:pPr>
              <w:spacing w:line="240" w:lineRule="auto"/>
              <w:rPr>
                <w:sz w:val="28"/>
                <w:szCs w:val="28"/>
              </w:rPr>
            </w:pPr>
            <w:r>
              <w:rPr>
                <w:rFonts w:ascii="方正黑体_GBK" w:hAnsi="方正黑体_GBK" w:eastAsia="方正黑体_GBK" w:cs="宋体"/>
                <w:sz w:val="20"/>
                <w:szCs w:val="24"/>
              </w:rPr>
              <w:t>010-66426500</w:t>
            </w:r>
          </w:p>
        </w:tc>
      </w:tr>
      <w:tr w14:paraId="37FB7BCD">
        <w:trPr>
          <w:trHeight w:val="300" w:hRule="atLeast"/>
        </w:trPr>
        <w:tc>
          <w:tcPr>
            <w:tcW w:w="2100" w:type="dxa"/>
            <w:tcMar>
              <w:left w:w="120" w:type="dxa"/>
            </w:tcMar>
            <w:vAlign w:val="center"/>
          </w:tcPr>
          <w:p w14:paraId="7B531731">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29B4F2DA">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2F539BC3">
            <w:pPr>
              <w:spacing w:line="240" w:lineRule="auto"/>
              <w:rPr>
                <w:sz w:val="28"/>
                <w:szCs w:val="28"/>
              </w:rPr>
            </w:pPr>
            <w:r>
              <w:rPr>
                <w:rFonts w:ascii="方正黑体_GBK" w:hAnsi="方正黑体_GBK" w:eastAsia="方正黑体_GBK" w:cs="宋体"/>
                <w:sz w:val="20"/>
                <w:szCs w:val="24"/>
              </w:rPr>
              <w:t>96008</w:t>
            </w:r>
          </w:p>
        </w:tc>
      </w:tr>
      <w:tr w14:paraId="001C8D42">
        <w:trPr>
          <w:trHeight w:val="300" w:hRule="atLeast"/>
        </w:trPr>
        <w:tc>
          <w:tcPr>
            <w:tcW w:w="2100" w:type="dxa"/>
            <w:tcMar>
              <w:left w:w="120" w:type="dxa"/>
            </w:tcMar>
            <w:vAlign w:val="center"/>
          </w:tcPr>
          <w:p w14:paraId="50E53A58">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22C3E2F7">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270E0FB9">
            <w:pPr>
              <w:spacing w:line="240" w:lineRule="auto"/>
              <w:rPr>
                <w:sz w:val="28"/>
                <w:szCs w:val="28"/>
              </w:rPr>
            </w:pPr>
            <w:r>
              <w:rPr>
                <w:rFonts w:ascii="方正黑体_GBK" w:hAnsi="方正黑体_GBK" w:eastAsia="方正黑体_GBK" w:cs="宋体"/>
                <w:sz w:val="20"/>
                <w:szCs w:val="24"/>
              </w:rPr>
              <w:t>96008</w:t>
            </w:r>
          </w:p>
        </w:tc>
      </w:tr>
      <w:tr w14:paraId="78DED4FD">
        <w:trPr>
          <w:trHeight w:val="300" w:hRule="atLeast"/>
        </w:trPr>
        <w:tc>
          <w:tcPr>
            <w:tcW w:w="2100" w:type="dxa"/>
            <w:tcMar>
              <w:left w:w="120" w:type="dxa"/>
            </w:tcMar>
            <w:vAlign w:val="center"/>
          </w:tcPr>
          <w:p w14:paraId="1BF5FDBB">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2585E7D6">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3E12AA92">
            <w:pPr>
              <w:spacing w:line="240" w:lineRule="auto"/>
              <w:rPr>
                <w:sz w:val="28"/>
                <w:szCs w:val="28"/>
              </w:rPr>
            </w:pPr>
            <w:r>
              <w:rPr>
                <w:rFonts w:ascii="方正黑体_GBK" w:hAnsi="方正黑体_GBK" w:eastAsia="方正黑体_GBK" w:cs="宋体"/>
                <w:sz w:val="20"/>
                <w:szCs w:val="24"/>
              </w:rPr>
              <w:t>0546-96588/400-6296588</w:t>
            </w:r>
          </w:p>
        </w:tc>
      </w:tr>
      <w:tr w14:paraId="6489B287">
        <w:trPr>
          <w:trHeight w:val="300" w:hRule="atLeast"/>
        </w:trPr>
        <w:tc>
          <w:tcPr>
            <w:tcW w:w="2100" w:type="dxa"/>
            <w:tcMar>
              <w:left w:w="120" w:type="dxa"/>
            </w:tcMar>
            <w:vAlign w:val="center"/>
          </w:tcPr>
          <w:p w14:paraId="0AA51C05">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5F834547">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0B72C17C">
            <w:pPr>
              <w:spacing w:line="240" w:lineRule="auto"/>
              <w:rPr>
                <w:sz w:val="28"/>
                <w:szCs w:val="28"/>
              </w:rPr>
            </w:pPr>
            <w:r>
              <w:rPr>
                <w:rFonts w:ascii="方正黑体_GBK" w:hAnsi="方正黑体_GBK" w:eastAsia="方正黑体_GBK" w:cs="宋体"/>
                <w:sz w:val="20"/>
                <w:szCs w:val="24"/>
              </w:rPr>
              <w:t>96008</w:t>
            </w:r>
          </w:p>
        </w:tc>
      </w:tr>
      <w:tr w14:paraId="7B6DE017">
        <w:trPr>
          <w:trHeight w:val="300" w:hRule="atLeast"/>
        </w:trPr>
        <w:tc>
          <w:tcPr>
            <w:tcW w:w="2100" w:type="dxa"/>
            <w:tcMar>
              <w:left w:w="120" w:type="dxa"/>
            </w:tcMar>
            <w:vAlign w:val="center"/>
          </w:tcPr>
          <w:p w14:paraId="54636421">
            <w:pPr>
              <w:spacing w:line="240" w:lineRule="auto"/>
              <w:rPr>
                <w:sz w:val="28"/>
                <w:szCs w:val="28"/>
              </w:rPr>
            </w:pPr>
            <w:r>
              <w:rPr>
                <w:rFonts w:ascii="方正黑体_GBK" w:hAnsi="方正黑体_GBK" w:eastAsia="方正黑体_GBK" w:cs="宋体"/>
                <w:sz w:val="20"/>
                <w:szCs w:val="24"/>
              </w:rPr>
              <w:t>潍坊银行股份有限公司</w:t>
            </w:r>
          </w:p>
        </w:tc>
        <w:tc>
          <w:tcPr>
            <w:tcW w:w="4050" w:type="dxa"/>
            <w:tcMar>
              <w:left w:w="120" w:type="dxa"/>
            </w:tcMar>
            <w:vAlign w:val="center"/>
          </w:tcPr>
          <w:p w14:paraId="2C22A354">
            <w:pPr>
              <w:spacing w:line="240" w:lineRule="auto"/>
              <w:rPr>
                <w:sz w:val="28"/>
                <w:szCs w:val="28"/>
              </w:rPr>
            </w:pPr>
            <w:r>
              <w:rPr>
                <w:rFonts w:ascii="方正黑体_GBK" w:hAnsi="方正黑体_GBK" w:eastAsia="方正黑体_GBK" w:cs="宋体"/>
                <w:sz w:val="20"/>
                <w:szCs w:val="24"/>
              </w:rPr>
              <w:t>潍坊市奎文区胜利东街5139号</w:t>
            </w:r>
          </w:p>
        </w:tc>
        <w:tc>
          <w:tcPr>
            <w:tcW w:w="1350" w:type="dxa"/>
            <w:tcMar>
              <w:left w:w="120" w:type="dxa"/>
            </w:tcMar>
            <w:vAlign w:val="center"/>
          </w:tcPr>
          <w:p w14:paraId="3CF5E734">
            <w:pPr>
              <w:spacing w:line="240" w:lineRule="auto"/>
              <w:rPr>
                <w:sz w:val="28"/>
                <w:szCs w:val="28"/>
              </w:rPr>
            </w:pPr>
            <w:r>
              <w:rPr>
                <w:rFonts w:ascii="方正黑体_GBK" w:hAnsi="方正黑体_GBK" w:eastAsia="方正黑体_GBK" w:cs="宋体"/>
                <w:sz w:val="20"/>
                <w:szCs w:val="24"/>
              </w:rPr>
              <w:t>0536-8106161</w:t>
            </w:r>
          </w:p>
        </w:tc>
      </w:tr>
      <w:tr w14:paraId="40475530">
        <w:trPr>
          <w:trHeight w:val="300" w:hRule="atLeast"/>
        </w:trPr>
        <w:tc>
          <w:tcPr>
            <w:tcW w:w="2100" w:type="dxa"/>
            <w:tcMar>
              <w:left w:w="120" w:type="dxa"/>
            </w:tcMar>
            <w:vAlign w:val="center"/>
          </w:tcPr>
          <w:p w14:paraId="7AB8D0C6">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193337E8">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7E8E0031">
            <w:pPr>
              <w:spacing w:line="240" w:lineRule="auto"/>
              <w:rPr>
                <w:sz w:val="28"/>
                <w:szCs w:val="28"/>
              </w:rPr>
            </w:pPr>
            <w:r>
              <w:rPr>
                <w:rFonts w:ascii="方正黑体_GBK" w:hAnsi="方正黑体_GBK" w:eastAsia="方正黑体_GBK" w:cs="宋体"/>
                <w:sz w:val="20"/>
                <w:szCs w:val="24"/>
              </w:rPr>
              <w:t>96008</w:t>
            </w:r>
          </w:p>
        </w:tc>
      </w:tr>
      <w:tr w14:paraId="66A85279">
        <w:trPr>
          <w:trHeight w:val="300" w:hRule="atLeast"/>
        </w:trPr>
        <w:tc>
          <w:tcPr>
            <w:tcW w:w="2100" w:type="dxa"/>
            <w:tcMar>
              <w:left w:w="120" w:type="dxa"/>
            </w:tcMar>
            <w:vAlign w:val="center"/>
          </w:tcPr>
          <w:p w14:paraId="23724BC6">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5C0F3D42">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71F2A380">
            <w:pPr>
              <w:spacing w:line="240" w:lineRule="auto"/>
              <w:rPr>
                <w:sz w:val="28"/>
                <w:szCs w:val="28"/>
              </w:rPr>
            </w:pPr>
            <w:r>
              <w:rPr>
                <w:rFonts w:ascii="方正黑体_GBK" w:hAnsi="方正黑体_GBK" w:eastAsia="方正黑体_GBK" w:cs="宋体"/>
                <w:sz w:val="20"/>
                <w:szCs w:val="24"/>
              </w:rPr>
              <w:t>0579-96528</w:t>
            </w:r>
          </w:p>
        </w:tc>
      </w:tr>
      <w:tr w14:paraId="4D122AE0">
        <w:trPr>
          <w:trHeight w:val="300" w:hRule="atLeast"/>
        </w:trPr>
        <w:tc>
          <w:tcPr>
            <w:tcW w:w="2100" w:type="dxa"/>
            <w:tcMar>
              <w:left w:w="120" w:type="dxa"/>
            </w:tcMar>
            <w:vAlign w:val="center"/>
          </w:tcPr>
          <w:p w14:paraId="1294E85C">
            <w:pPr>
              <w:spacing w:line="240" w:lineRule="auto"/>
              <w:rPr>
                <w:sz w:val="28"/>
                <w:szCs w:val="28"/>
              </w:rPr>
            </w:pPr>
            <w:r>
              <w:rPr>
                <w:rFonts w:ascii="方正黑体_GBK" w:hAnsi="方正黑体_GBK" w:eastAsia="方正黑体_GBK" w:cs="宋体"/>
                <w:sz w:val="20"/>
                <w:szCs w:val="24"/>
              </w:rPr>
              <w:t>吉林银行股份有限公司</w:t>
            </w:r>
          </w:p>
        </w:tc>
        <w:tc>
          <w:tcPr>
            <w:tcW w:w="4050" w:type="dxa"/>
            <w:tcMar>
              <w:left w:w="120" w:type="dxa"/>
            </w:tcMar>
            <w:vAlign w:val="center"/>
          </w:tcPr>
          <w:p w14:paraId="3ACBD181">
            <w:pPr>
              <w:spacing w:line="240" w:lineRule="auto"/>
              <w:rPr>
                <w:sz w:val="28"/>
                <w:szCs w:val="28"/>
              </w:rPr>
            </w:pPr>
            <w:r>
              <w:rPr>
                <w:rFonts w:ascii="方正黑体_GBK" w:hAnsi="方正黑体_GBK" w:eastAsia="方正黑体_GBK" w:cs="宋体"/>
                <w:sz w:val="20"/>
                <w:szCs w:val="24"/>
              </w:rPr>
              <w:t>吉林省长春市南关区人民大街10666号</w:t>
            </w:r>
          </w:p>
        </w:tc>
        <w:tc>
          <w:tcPr>
            <w:tcW w:w="1350" w:type="dxa"/>
            <w:tcMar>
              <w:left w:w="120" w:type="dxa"/>
            </w:tcMar>
            <w:vAlign w:val="center"/>
          </w:tcPr>
          <w:p w14:paraId="493CCEA3">
            <w:pPr>
              <w:spacing w:line="240" w:lineRule="auto"/>
              <w:rPr>
                <w:sz w:val="28"/>
                <w:szCs w:val="28"/>
              </w:rPr>
            </w:pPr>
            <w:r>
              <w:rPr>
                <w:rFonts w:ascii="方正黑体_GBK" w:hAnsi="方正黑体_GBK" w:eastAsia="方正黑体_GBK" w:cs="宋体"/>
                <w:sz w:val="20"/>
                <w:szCs w:val="24"/>
              </w:rPr>
              <w:t>0431-84999543</w:t>
            </w:r>
          </w:p>
        </w:tc>
      </w:tr>
      <w:tr w14:paraId="777E1912">
        <w:trPr>
          <w:trHeight w:val="300" w:hRule="atLeast"/>
        </w:trPr>
        <w:tc>
          <w:tcPr>
            <w:tcW w:w="2100" w:type="dxa"/>
            <w:tcMar>
              <w:left w:w="120" w:type="dxa"/>
            </w:tcMar>
            <w:vAlign w:val="center"/>
          </w:tcPr>
          <w:p w14:paraId="36C5B056">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7204C29B">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6E59A75F">
            <w:pPr>
              <w:spacing w:line="240" w:lineRule="auto"/>
              <w:rPr>
                <w:sz w:val="28"/>
                <w:szCs w:val="28"/>
              </w:rPr>
            </w:pPr>
            <w:r>
              <w:rPr>
                <w:rFonts w:ascii="方正黑体_GBK" w:hAnsi="方正黑体_GBK" w:eastAsia="方正黑体_GBK" w:cs="宋体"/>
                <w:sz w:val="20"/>
                <w:szCs w:val="24"/>
              </w:rPr>
              <w:t>96008</w:t>
            </w:r>
          </w:p>
        </w:tc>
      </w:tr>
      <w:tr w14:paraId="59CE0203">
        <w:trPr>
          <w:trHeight w:val="300" w:hRule="atLeast"/>
        </w:trPr>
        <w:tc>
          <w:tcPr>
            <w:tcW w:w="2100" w:type="dxa"/>
            <w:tcMar>
              <w:left w:w="120" w:type="dxa"/>
            </w:tcMar>
            <w:vAlign w:val="center"/>
          </w:tcPr>
          <w:p w14:paraId="71AF4F8F">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4754A15C">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787D89F3">
            <w:pPr>
              <w:spacing w:line="240" w:lineRule="auto"/>
              <w:rPr>
                <w:sz w:val="28"/>
                <w:szCs w:val="28"/>
              </w:rPr>
            </w:pPr>
            <w:r>
              <w:rPr>
                <w:rFonts w:ascii="方正黑体_GBK" w:hAnsi="方正黑体_GBK" w:eastAsia="方正黑体_GBK" w:cs="宋体"/>
                <w:sz w:val="20"/>
                <w:szCs w:val="24"/>
              </w:rPr>
              <w:t>0534-2291695</w:t>
            </w:r>
          </w:p>
        </w:tc>
      </w:tr>
      <w:tr w14:paraId="27E3A3F3">
        <w:trPr>
          <w:trHeight w:val="300" w:hRule="atLeast"/>
        </w:trPr>
        <w:tc>
          <w:tcPr>
            <w:tcW w:w="2100" w:type="dxa"/>
            <w:tcMar>
              <w:left w:w="120" w:type="dxa"/>
            </w:tcMar>
            <w:vAlign w:val="center"/>
          </w:tcPr>
          <w:p w14:paraId="0DCE144C">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43E23C95">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0C9FFE33">
            <w:pPr>
              <w:spacing w:line="240" w:lineRule="auto"/>
              <w:rPr>
                <w:sz w:val="28"/>
                <w:szCs w:val="28"/>
              </w:rPr>
            </w:pPr>
            <w:r>
              <w:rPr>
                <w:rFonts w:ascii="方正黑体_GBK" w:hAnsi="方正黑体_GBK" w:eastAsia="方正黑体_GBK" w:cs="宋体"/>
                <w:sz w:val="20"/>
                <w:szCs w:val="24"/>
              </w:rPr>
              <w:t>010-96198、4008896198</w:t>
            </w:r>
          </w:p>
        </w:tc>
      </w:tr>
      <w:tr w14:paraId="7AEACB41">
        <w:trPr>
          <w:trHeight w:val="300" w:hRule="atLeast"/>
        </w:trPr>
        <w:tc>
          <w:tcPr>
            <w:tcW w:w="2100" w:type="dxa"/>
            <w:tcMar>
              <w:left w:w="120" w:type="dxa"/>
            </w:tcMar>
            <w:vAlign w:val="center"/>
          </w:tcPr>
          <w:p w14:paraId="28C36E4C">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712B3D4B">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523979E3">
            <w:pPr>
              <w:spacing w:line="240" w:lineRule="auto"/>
              <w:rPr>
                <w:sz w:val="28"/>
                <w:szCs w:val="28"/>
              </w:rPr>
            </w:pPr>
            <w:r>
              <w:rPr>
                <w:rFonts w:ascii="方正黑体_GBK" w:hAnsi="方正黑体_GBK" w:eastAsia="方正黑体_GBK" w:cs="宋体"/>
                <w:sz w:val="20"/>
                <w:szCs w:val="24"/>
              </w:rPr>
              <w:t>021-962999</w:t>
            </w:r>
          </w:p>
        </w:tc>
      </w:tr>
      <w:tr w14:paraId="7280DA01">
        <w:trPr>
          <w:trHeight w:val="300" w:hRule="atLeast"/>
        </w:trPr>
        <w:tc>
          <w:tcPr>
            <w:tcW w:w="2100" w:type="dxa"/>
            <w:tcMar>
              <w:left w:w="120" w:type="dxa"/>
            </w:tcMar>
            <w:vAlign w:val="center"/>
          </w:tcPr>
          <w:p w14:paraId="6B332CFD">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321DABAE">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2969D205">
            <w:pPr>
              <w:spacing w:line="240" w:lineRule="auto"/>
              <w:rPr>
                <w:sz w:val="28"/>
                <w:szCs w:val="28"/>
              </w:rPr>
            </w:pPr>
            <w:r>
              <w:rPr>
                <w:rFonts w:ascii="方正黑体_GBK" w:hAnsi="方正黑体_GBK" w:eastAsia="方正黑体_GBK" w:cs="宋体"/>
                <w:sz w:val="20"/>
                <w:szCs w:val="24"/>
              </w:rPr>
              <w:t>96008</w:t>
            </w:r>
          </w:p>
        </w:tc>
      </w:tr>
      <w:tr w14:paraId="744CC4B7">
        <w:trPr>
          <w:trHeight w:val="300" w:hRule="atLeast"/>
        </w:trPr>
        <w:tc>
          <w:tcPr>
            <w:tcW w:w="2100" w:type="dxa"/>
            <w:tcMar>
              <w:left w:w="120" w:type="dxa"/>
            </w:tcMar>
            <w:vAlign w:val="center"/>
          </w:tcPr>
          <w:p w14:paraId="3F08F7B0">
            <w:pPr>
              <w:spacing w:line="240" w:lineRule="auto"/>
              <w:rPr>
                <w:sz w:val="28"/>
                <w:szCs w:val="28"/>
              </w:rPr>
            </w:pPr>
            <w:r>
              <w:rPr>
                <w:rFonts w:ascii="方正黑体_GBK" w:hAnsi="方正黑体_GBK" w:eastAsia="方正黑体_GBK" w:cs="宋体"/>
                <w:sz w:val="20"/>
                <w:szCs w:val="24"/>
              </w:rPr>
              <w:t>海南农村商业银行股份有限公司</w:t>
            </w:r>
          </w:p>
        </w:tc>
        <w:tc>
          <w:tcPr>
            <w:tcW w:w="4050" w:type="dxa"/>
            <w:tcMar>
              <w:left w:w="120" w:type="dxa"/>
            </w:tcMar>
            <w:vAlign w:val="center"/>
          </w:tcPr>
          <w:p w14:paraId="7F50CAA0">
            <w:pPr>
              <w:spacing w:line="240" w:lineRule="auto"/>
              <w:rPr>
                <w:sz w:val="28"/>
                <w:szCs w:val="28"/>
              </w:rPr>
            </w:pPr>
            <w:r>
              <w:rPr>
                <w:rFonts w:ascii="方正黑体_GBK" w:hAnsi="方正黑体_GBK" w:eastAsia="方正黑体_GBK" w:cs="宋体"/>
                <w:sz w:val="20"/>
                <w:szCs w:val="24"/>
              </w:rPr>
              <w:t>海南省海口市美兰区国兴大道5号海南大厦</w:t>
            </w:r>
          </w:p>
        </w:tc>
        <w:tc>
          <w:tcPr>
            <w:tcW w:w="1350" w:type="dxa"/>
            <w:tcMar>
              <w:left w:w="120" w:type="dxa"/>
            </w:tcMar>
            <w:vAlign w:val="center"/>
          </w:tcPr>
          <w:p w14:paraId="03B86902">
            <w:pPr>
              <w:spacing w:line="240" w:lineRule="auto"/>
              <w:rPr>
                <w:sz w:val="28"/>
                <w:szCs w:val="28"/>
              </w:rPr>
            </w:pPr>
            <w:r>
              <w:rPr>
                <w:rFonts w:ascii="方正黑体_GBK" w:hAnsi="方正黑体_GBK" w:eastAsia="方正黑体_GBK" w:cs="宋体"/>
                <w:sz w:val="20"/>
                <w:szCs w:val="24"/>
              </w:rPr>
              <w:t>65200533</w:t>
            </w:r>
          </w:p>
        </w:tc>
      </w:tr>
      <w:tr w14:paraId="304BF031">
        <w:trPr>
          <w:trHeight w:val="300" w:hRule="atLeast"/>
        </w:trPr>
        <w:tc>
          <w:tcPr>
            <w:tcW w:w="2100" w:type="dxa"/>
            <w:tcMar>
              <w:left w:w="120" w:type="dxa"/>
            </w:tcMar>
            <w:vAlign w:val="center"/>
          </w:tcPr>
          <w:p w14:paraId="792FA352">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42C15A0D">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15CC5933">
            <w:pPr>
              <w:spacing w:line="240" w:lineRule="auto"/>
              <w:rPr>
                <w:sz w:val="28"/>
                <w:szCs w:val="28"/>
              </w:rPr>
            </w:pPr>
            <w:r>
              <w:rPr>
                <w:rFonts w:ascii="方正黑体_GBK" w:hAnsi="方正黑体_GBK" w:eastAsia="方正黑体_GBK" w:cs="宋体"/>
                <w:sz w:val="20"/>
                <w:szCs w:val="24"/>
              </w:rPr>
              <w:t>40080-96528</w:t>
            </w:r>
          </w:p>
        </w:tc>
      </w:tr>
      <w:tr w14:paraId="53679DFD">
        <w:trPr>
          <w:trHeight w:val="300" w:hRule="atLeast"/>
        </w:trPr>
        <w:tc>
          <w:tcPr>
            <w:tcW w:w="2100" w:type="dxa"/>
            <w:tcMar>
              <w:left w:w="120" w:type="dxa"/>
            </w:tcMar>
            <w:vAlign w:val="center"/>
          </w:tcPr>
          <w:p w14:paraId="6E6C5196">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409C916C">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31868A9A">
            <w:pPr>
              <w:spacing w:line="240" w:lineRule="auto"/>
              <w:rPr>
                <w:sz w:val="28"/>
                <w:szCs w:val="28"/>
              </w:rPr>
            </w:pPr>
            <w:r>
              <w:rPr>
                <w:rFonts w:ascii="方正黑体_GBK" w:hAnsi="方正黑体_GBK" w:eastAsia="方正黑体_GBK" w:cs="宋体"/>
                <w:sz w:val="20"/>
                <w:szCs w:val="24"/>
              </w:rPr>
              <w:t>96008</w:t>
            </w:r>
          </w:p>
        </w:tc>
      </w:tr>
      <w:tr w14:paraId="37E1B81D">
        <w:trPr>
          <w:trHeight w:val="300" w:hRule="atLeast"/>
        </w:trPr>
        <w:tc>
          <w:tcPr>
            <w:tcW w:w="2100" w:type="dxa"/>
            <w:tcMar>
              <w:left w:w="120" w:type="dxa"/>
            </w:tcMar>
            <w:vAlign w:val="center"/>
          </w:tcPr>
          <w:p w14:paraId="53053429">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104BEF6E">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4E094F6E">
            <w:pPr>
              <w:spacing w:line="240" w:lineRule="auto"/>
              <w:rPr>
                <w:sz w:val="28"/>
                <w:szCs w:val="28"/>
              </w:rPr>
            </w:pPr>
            <w:r>
              <w:rPr>
                <w:rFonts w:ascii="方正黑体_GBK" w:hAnsi="方正黑体_GBK" w:eastAsia="方正黑体_GBK" w:cs="宋体"/>
                <w:sz w:val="20"/>
                <w:szCs w:val="24"/>
              </w:rPr>
              <w:t>95313</w:t>
            </w:r>
          </w:p>
        </w:tc>
      </w:tr>
      <w:tr w14:paraId="7481955D">
        <w:trPr>
          <w:trHeight w:val="300" w:hRule="atLeast"/>
        </w:trPr>
        <w:tc>
          <w:tcPr>
            <w:tcW w:w="2100" w:type="dxa"/>
            <w:tcMar>
              <w:left w:w="120" w:type="dxa"/>
            </w:tcMar>
            <w:vAlign w:val="center"/>
          </w:tcPr>
          <w:p w14:paraId="5AD38D32">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6ADAEC45">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1F9F5EDD">
            <w:pPr>
              <w:spacing w:line="240" w:lineRule="auto"/>
              <w:rPr>
                <w:sz w:val="28"/>
                <w:szCs w:val="28"/>
              </w:rPr>
            </w:pPr>
            <w:r>
              <w:rPr>
                <w:rFonts w:ascii="方正黑体_GBK" w:hAnsi="方正黑体_GBK" w:eastAsia="方正黑体_GBK" w:cs="宋体"/>
                <w:sz w:val="20"/>
                <w:szCs w:val="24"/>
              </w:rPr>
              <w:t>96008</w:t>
            </w:r>
          </w:p>
        </w:tc>
      </w:tr>
      <w:tr w14:paraId="7EBA9EBD">
        <w:trPr>
          <w:trHeight w:val="300" w:hRule="atLeast"/>
        </w:trPr>
        <w:tc>
          <w:tcPr>
            <w:tcW w:w="2100" w:type="dxa"/>
            <w:tcMar>
              <w:left w:w="120" w:type="dxa"/>
            </w:tcMar>
            <w:vAlign w:val="center"/>
          </w:tcPr>
          <w:p w14:paraId="2D215A14">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08964BB3">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469413E3">
            <w:pPr>
              <w:spacing w:line="240" w:lineRule="auto"/>
              <w:rPr>
                <w:sz w:val="28"/>
                <w:szCs w:val="28"/>
              </w:rPr>
            </w:pPr>
            <w:r>
              <w:rPr>
                <w:rFonts w:ascii="方正黑体_GBK" w:hAnsi="方正黑体_GBK" w:eastAsia="方正黑体_GBK" w:cs="宋体"/>
                <w:sz w:val="20"/>
                <w:szCs w:val="24"/>
              </w:rPr>
              <w:t>0421-2632275</w:t>
            </w:r>
          </w:p>
        </w:tc>
      </w:tr>
    </w:tbl>
    <w:p w14:paraId="3B8B62D9">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5F1E6200">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7E26B305">
        <w:trPr>
          <w:trHeight w:val="300" w:hRule="atLeast"/>
        </w:trPr>
        <w:tc>
          <w:tcPr>
            <w:tcW w:w="3000" w:type="dxa"/>
            <w:vAlign w:val="center"/>
          </w:tcPr>
          <w:p w14:paraId="60E52DA9">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12758D54">
            <w:pPr>
              <w:spacing w:line="240" w:lineRule="auto"/>
              <w:jc w:val="center"/>
              <w:rPr>
                <w:sz w:val="28"/>
                <w:szCs w:val="28"/>
              </w:rPr>
            </w:pPr>
            <w:r>
              <w:rPr>
                <w:rFonts w:ascii="方正黑体_GBK" w:hAnsi="方正黑体_GBK" w:eastAsia="方正黑体_GBK" w:cs="宋体"/>
                <w:b/>
                <w:sz w:val="20"/>
                <w:szCs w:val="24"/>
              </w:rPr>
              <w:t>关联关系</w:t>
            </w:r>
          </w:p>
        </w:tc>
      </w:tr>
      <w:tr w14:paraId="69A14E1C">
        <w:trPr>
          <w:trHeight w:val="300" w:hRule="atLeast"/>
        </w:trPr>
        <w:tc>
          <w:tcPr>
            <w:tcW w:w="3000" w:type="dxa"/>
            <w:tcMar>
              <w:left w:w="120" w:type="dxa"/>
            </w:tcMar>
            <w:vAlign w:val="center"/>
          </w:tcPr>
          <w:p w14:paraId="41EFA3D6">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133C8CAF">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271C7CC0">
        <w:trPr>
          <w:trHeight w:val="300" w:hRule="atLeast"/>
        </w:trPr>
        <w:tc>
          <w:tcPr>
            <w:tcW w:w="3000" w:type="dxa"/>
            <w:tcMar>
              <w:left w:w="120" w:type="dxa"/>
            </w:tcMar>
            <w:vAlign w:val="center"/>
          </w:tcPr>
          <w:p w14:paraId="591991A2">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79F96B2B">
            <w:pPr>
              <w:spacing w:line="240" w:lineRule="auto"/>
              <w:rPr>
                <w:sz w:val="28"/>
                <w:szCs w:val="28"/>
              </w:rPr>
            </w:pPr>
            <w:r>
              <w:rPr>
                <w:rFonts w:ascii="方正黑体_GBK" w:hAnsi="方正黑体_GBK" w:eastAsia="方正黑体_GBK" w:cs="宋体"/>
                <w:sz w:val="20"/>
                <w:szCs w:val="24"/>
              </w:rPr>
              <w:t>发行机构股东</w:t>
            </w:r>
          </w:p>
        </w:tc>
      </w:tr>
      <w:tr w14:paraId="2FAC5717">
        <w:trPr>
          <w:trHeight w:val="300" w:hRule="atLeast"/>
        </w:trPr>
        <w:tc>
          <w:tcPr>
            <w:tcW w:w="3000" w:type="dxa"/>
            <w:tcMar>
              <w:left w:w="120" w:type="dxa"/>
            </w:tcMar>
            <w:vAlign w:val="center"/>
          </w:tcPr>
          <w:p w14:paraId="469E8256">
            <w:pPr>
              <w:spacing w:line="240" w:lineRule="auto"/>
              <w:rPr>
                <w:sz w:val="28"/>
                <w:szCs w:val="28"/>
              </w:rPr>
            </w:pPr>
            <w:r>
              <w:rPr>
                <w:rFonts w:ascii="方正黑体_GBK" w:hAnsi="方正黑体_GBK" w:eastAsia="方正黑体_GBK" w:cs="宋体"/>
                <w:sz w:val="20"/>
                <w:szCs w:val="24"/>
              </w:rPr>
              <w:t>日照银行股份有限公司</w:t>
            </w:r>
          </w:p>
        </w:tc>
        <w:tc>
          <w:tcPr>
            <w:tcW w:w="4500" w:type="dxa"/>
            <w:tcMar>
              <w:left w:w="120" w:type="dxa"/>
            </w:tcMar>
            <w:vAlign w:val="center"/>
          </w:tcPr>
          <w:p w14:paraId="0B3C3B67">
            <w:pPr>
              <w:spacing w:line="240" w:lineRule="auto"/>
              <w:rPr>
                <w:sz w:val="28"/>
                <w:szCs w:val="28"/>
              </w:rPr>
            </w:pPr>
            <w:r>
              <w:rPr>
                <w:rFonts w:ascii="方正黑体_GBK" w:hAnsi="方正黑体_GBK" w:eastAsia="方正黑体_GBK" w:cs="宋体"/>
                <w:sz w:val="20"/>
                <w:szCs w:val="24"/>
              </w:rPr>
              <w:t>发行机构股东控制或可施加重大影响的法人或非法人组织</w:t>
            </w:r>
          </w:p>
        </w:tc>
      </w:tr>
    </w:tbl>
    <w:p w14:paraId="5A36040B">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6CB32BFA">
        <w:trPr>
          <w:trHeight w:val="300" w:hRule="atLeast"/>
        </w:trPr>
        <w:tc>
          <w:tcPr>
            <w:tcW w:w="3000" w:type="dxa"/>
            <w:vAlign w:val="center"/>
          </w:tcPr>
          <w:p w14:paraId="632D34DD">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228DF453">
            <w:pPr>
              <w:spacing w:line="240" w:lineRule="auto"/>
              <w:jc w:val="center"/>
              <w:rPr>
                <w:sz w:val="28"/>
                <w:szCs w:val="28"/>
              </w:rPr>
            </w:pPr>
            <w:r>
              <w:rPr>
                <w:rFonts w:ascii="方正黑体_GBK" w:hAnsi="方正黑体_GBK" w:eastAsia="方正黑体_GBK" w:cs="宋体"/>
                <w:b/>
                <w:sz w:val="20"/>
                <w:szCs w:val="24"/>
              </w:rPr>
              <w:t>关联关系</w:t>
            </w:r>
          </w:p>
        </w:tc>
      </w:tr>
      <w:tr w14:paraId="01266CD1">
        <w:trPr>
          <w:trHeight w:val="300" w:hRule="atLeast"/>
        </w:trPr>
        <w:tc>
          <w:tcPr>
            <w:tcW w:w="3000" w:type="dxa"/>
            <w:tcMar>
              <w:left w:w="120" w:type="dxa"/>
            </w:tcMar>
            <w:vAlign w:val="center"/>
          </w:tcPr>
          <w:p w14:paraId="4F739FEE">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1295C5B4">
            <w:pPr>
              <w:spacing w:line="240" w:lineRule="auto"/>
              <w:rPr>
                <w:sz w:val="28"/>
                <w:szCs w:val="28"/>
              </w:rPr>
            </w:pPr>
            <w:r>
              <w:rPr>
                <w:rFonts w:ascii="方正黑体_GBK" w:hAnsi="方正黑体_GBK" w:eastAsia="方正黑体_GBK" w:cs="宋体"/>
                <w:sz w:val="20"/>
                <w:szCs w:val="24"/>
              </w:rPr>
              <w:t>托管机构的控股机构</w:t>
            </w:r>
          </w:p>
        </w:tc>
      </w:tr>
      <w:tr w14:paraId="06F431D7">
        <w:trPr>
          <w:trHeight w:val="300" w:hRule="atLeast"/>
        </w:trPr>
        <w:tc>
          <w:tcPr>
            <w:tcW w:w="3000" w:type="dxa"/>
            <w:tcMar>
              <w:left w:w="120" w:type="dxa"/>
            </w:tcMar>
            <w:vAlign w:val="center"/>
          </w:tcPr>
          <w:p w14:paraId="2D233583">
            <w:pPr>
              <w:spacing w:line="240" w:lineRule="auto"/>
              <w:rPr>
                <w:sz w:val="28"/>
                <w:szCs w:val="28"/>
              </w:rPr>
            </w:pPr>
            <w:r>
              <w:rPr>
                <w:rFonts w:ascii="方正黑体_GBK" w:hAnsi="方正黑体_GBK" w:eastAsia="方正黑体_GBK" w:cs="宋体"/>
                <w:sz w:val="20"/>
                <w:szCs w:val="24"/>
              </w:rPr>
              <w:t>日照银行股份有限公司</w:t>
            </w:r>
          </w:p>
        </w:tc>
        <w:tc>
          <w:tcPr>
            <w:tcW w:w="4500" w:type="dxa"/>
            <w:tcMar>
              <w:left w:w="120" w:type="dxa"/>
            </w:tcMar>
            <w:vAlign w:val="center"/>
          </w:tcPr>
          <w:p w14:paraId="4B1D8A85">
            <w:pPr>
              <w:spacing w:line="240" w:lineRule="auto"/>
              <w:rPr>
                <w:sz w:val="28"/>
                <w:szCs w:val="28"/>
              </w:rPr>
            </w:pPr>
            <w:r>
              <w:rPr>
                <w:rFonts w:ascii="方正黑体_GBK" w:hAnsi="方正黑体_GBK" w:eastAsia="方正黑体_GBK" w:cs="宋体"/>
                <w:sz w:val="20"/>
                <w:szCs w:val="24"/>
              </w:rPr>
              <w:t>与托管机构存在重大利害关系</w:t>
            </w:r>
          </w:p>
        </w:tc>
      </w:tr>
    </w:tbl>
    <w:p w14:paraId="701BB18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2841D97C">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72FAAD98">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4F221092">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33E20F51">
      <w:pPr>
        <w:spacing w:line="240" w:lineRule="auto"/>
        <w:ind w:firstLine="300"/>
        <w:rPr>
          <w:sz w:val="28"/>
          <w:szCs w:val="28"/>
        </w:rPr>
      </w:pPr>
      <w:r>
        <w:rPr>
          <w:rFonts w:ascii="方正黑体_GBK" w:hAnsi="方正黑体_GBK" w:eastAsia="方正黑体_GBK" w:cs="宋体"/>
          <w:color w:val="3D3D3D"/>
          <w:sz w:val="20"/>
          <w:szCs w:val="24"/>
        </w:rPr>
        <w:t>1.净值信息</w:t>
      </w:r>
    </w:p>
    <w:p w14:paraId="32210BAD">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791F4649">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3714B518">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04DF19DA">
      <w:pPr>
        <w:spacing w:line="240" w:lineRule="auto"/>
        <w:ind w:firstLine="300"/>
        <w:rPr>
          <w:sz w:val="28"/>
          <w:szCs w:val="28"/>
        </w:rPr>
      </w:pPr>
      <w:r>
        <w:rPr>
          <w:rFonts w:ascii="方正黑体_GBK" w:hAnsi="方正黑体_GBK" w:eastAsia="方正黑体_GBK" w:cs="宋体"/>
          <w:color w:val="3D3D3D"/>
          <w:sz w:val="20"/>
          <w:szCs w:val="24"/>
        </w:rPr>
        <w:t>3.定期报告</w:t>
      </w:r>
    </w:p>
    <w:p w14:paraId="4FE5F58B">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063E8A21">
      <w:pPr>
        <w:spacing w:line="240" w:lineRule="auto"/>
        <w:ind w:firstLine="300"/>
        <w:rPr>
          <w:sz w:val="28"/>
          <w:szCs w:val="28"/>
        </w:rPr>
      </w:pPr>
      <w:r>
        <w:rPr>
          <w:rFonts w:ascii="方正黑体_GBK" w:hAnsi="方正黑体_GBK" w:eastAsia="方正黑体_GBK" w:cs="宋体"/>
          <w:color w:val="3D3D3D"/>
          <w:sz w:val="20"/>
          <w:szCs w:val="24"/>
        </w:rPr>
        <w:t>4.到期公告</w:t>
      </w:r>
    </w:p>
    <w:p w14:paraId="1FB9C1EA">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32F2D335">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56C83D27">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00524175">
      <w:pPr>
        <w:spacing w:line="240" w:lineRule="auto"/>
        <w:ind w:firstLine="300"/>
        <w:rPr>
          <w:sz w:val="28"/>
          <w:szCs w:val="28"/>
        </w:rPr>
      </w:pPr>
      <w:r>
        <w:rPr>
          <w:rFonts w:ascii="方正黑体_GBK" w:hAnsi="方正黑体_GBK" w:eastAsia="方正黑体_GBK" w:cs="宋体"/>
          <w:color w:val="3D3D3D"/>
          <w:sz w:val="20"/>
          <w:szCs w:val="24"/>
        </w:rPr>
        <w:t>6.临时公告</w:t>
      </w:r>
    </w:p>
    <w:p w14:paraId="30408B99">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43563601">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7E0A1629">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708F1FF4">
      <w:pPr>
        <w:spacing w:line="240" w:lineRule="auto"/>
        <w:ind w:firstLine="300"/>
        <w:rPr>
          <w:sz w:val="28"/>
          <w:szCs w:val="28"/>
        </w:rPr>
      </w:pPr>
      <w:r>
        <w:rPr>
          <w:rFonts w:ascii="方正黑体_GBK" w:hAnsi="方正黑体_GBK" w:eastAsia="方正黑体_GBK" w:cs="宋体"/>
          <w:color w:val="3D3D3D"/>
          <w:sz w:val="20"/>
          <w:szCs w:val="24"/>
        </w:rPr>
        <w:t>8.账单</w:t>
      </w:r>
    </w:p>
    <w:p w14:paraId="05C7CA7F">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2C865B70">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7B29A77D">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58203ECC">
      <w:pPr>
        <w:spacing w:line="240" w:lineRule="auto"/>
        <w:ind w:firstLine="300"/>
        <w:rPr>
          <w:sz w:val="28"/>
          <w:szCs w:val="28"/>
        </w:rPr>
      </w:pPr>
      <w:r>
        <w:rPr>
          <w:rFonts w:ascii="方正黑体_GBK" w:hAnsi="方正黑体_GBK" w:eastAsia="方正黑体_GBK" w:cs="宋体"/>
          <w:color w:val="3D3D3D"/>
          <w:sz w:val="20"/>
          <w:szCs w:val="24"/>
        </w:rPr>
        <w:t>10.其他公告</w:t>
      </w:r>
    </w:p>
    <w:p w14:paraId="3CD54B43">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5E17CD7C">
      <w:pPr>
        <w:spacing w:line="240" w:lineRule="auto"/>
        <w:ind w:firstLine="300"/>
        <w:rPr>
          <w:sz w:val="28"/>
          <w:szCs w:val="28"/>
        </w:rPr>
      </w:pPr>
    </w:p>
    <w:p w14:paraId="51ADE5B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0C07D09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01E47F63">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2BD756DE">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403A4BF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4EC4B88E">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60C5D26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7666E2F6">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3C35F87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515FAA5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0784C3D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063AEDC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1B637243">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D616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62E2A9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62E2A9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3608D">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BFF851"/>
    <w:multiLevelType w:val="multilevel"/>
    <w:tmpl w:val="F8BFF851"/>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1">
    <w:nsid w:val="6F868985"/>
    <w:multiLevelType w:val="multilevel"/>
    <w:tmpl w:val="6F868985"/>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abstractNum w:abstractNumId="2">
    <w:nsid w:val="7EBF4667"/>
    <w:multiLevelType w:val="multilevel"/>
    <w:tmpl w:val="7EBF4667"/>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7BBB3A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0e481112"/>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83e7532e"/>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1a0df4aa"/>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5dc2f710"/>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adb9c17f"/>
    <w:uiPriority w:val="0"/>
  </w:style>
  <w:style w:type="paragraph" w:customStyle="1" w:styleId="20">
    <w:name w:val="toc 1658a5ea6"/>
    <w:basedOn w:val="15"/>
    <w:next w:val="1"/>
    <w:autoRedefine/>
    <w:uiPriority w:val="0"/>
  </w:style>
  <w:style w:type="paragraph" w:customStyle="1" w:styleId="21">
    <w:name w:val="toc 298a89465"/>
    <w:basedOn w:val="15"/>
    <w:next w:val="1"/>
    <w:autoRedefine/>
    <w:uiPriority w:val="0"/>
    <w:pPr>
      <w:ind w:left="420"/>
    </w:pPr>
  </w:style>
  <w:style w:type="paragraph" w:customStyle="1" w:styleId="22">
    <w:name w:val="toc 3ad04e296"/>
    <w:basedOn w:val="15"/>
    <w:next w:val="1"/>
    <w:autoRedefine/>
    <w:uiPriority w:val="0"/>
    <w:pPr>
      <w:ind w:left="840"/>
    </w:pPr>
  </w:style>
  <w:style w:type="paragraph" w:customStyle="1" w:styleId="23">
    <w:name w:val="toc 41af2b0ef"/>
    <w:basedOn w:val="15"/>
    <w:next w:val="1"/>
    <w:autoRedefine/>
    <w:uiPriority w:val="0"/>
    <w:pPr>
      <w:ind w:left="1260"/>
    </w:pPr>
  </w:style>
  <w:style w:type="paragraph" w:customStyle="1" w:styleId="24">
    <w:name w:val="toc 57aa33299"/>
    <w:basedOn w:val="15"/>
    <w:next w:val="1"/>
    <w:autoRedefine/>
    <w:uiPriority w:val="0"/>
    <w:pPr>
      <w:ind w:left="1680"/>
    </w:pPr>
  </w:style>
  <w:style w:type="paragraph" w:customStyle="1" w:styleId="25">
    <w:name w:val="headerdf44bac8"/>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427f1560"/>
    <w:basedOn w:val="15"/>
    <w:uiPriority w:val="0"/>
    <w:pPr>
      <w:tabs>
        <w:tab w:val="center" w:pos="4153"/>
        <w:tab w:val="right" w:pos="8307"/>
      </w:tabs>
      <w:adjustRightInd/>
      <w:snapToGrid w:val="0"/>
      <w:contextualSpacing w:val="0"/>
      <w:jc w:val="left"/>
    </w:pPr>
    <w:rPr>
      <w:sz w:val="18"/>
    </w:rPr>
  </w:style>
  <w:style w:type="character" w:customStyle="1" w:styleId="27">
    <w:name w:val="Strong6e73ac9f"/>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0d39a1d2"/>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049c426d"/>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423a646f"/>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7db1c51c"/>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51ae17d5"/>
    <w:uiPriority w:val="0"/>
  </w:style>
  <w:style w:type="paragraph" w:customStyle="1" w:styleId="34">
    <w:name w:val="Normal Indent4abaeafd"/>
    <w:basedOn w:val="29"/>
    <w:uiPriority w:val="0"/>
    <w:pPr>
      <w:ind w:firstLine="200" w:firstLineChars="200"/>
    </w:pPr>
  </w:style>
  <w:style w:type="paragraph" w:customStyle="1" w:styleId="35">
    <w:name w:val="toc 5d4d6710d"/>
    <w:basedOn w:val="29"/>
    <w:next w:val="1"/>
    <w:uiPriority w:val="0"/>
    <w:pPr>
      <w:ind w:left="1680"/>
    </w:pPr>
  </w:style>
  <w:style w:type="paragraph" w:customStyle="1" w:styleId="36">
    <w:name w:val="toc 3d9183a09"/>
    <w:basedOn w:val="29"/>
    <w:next w:val="1"/>
    <w:uiPriority w:val="0"/>
    <w:pPr>
      <w:ind w:left="840"/>
    </w:pPr>
  </w:style>
  <w:style w:type="paragraph" w:customStyle="1" w:styleId="37">
    <w:name w:val="footerda022df5"/>
    <w:basedOn w:val="29"/>
    <w:uiPriority w:val="0"/>
    <w:pPr>
      <w:tabs>
        <w:tab w:val="center" w:pos="4153"/>
        <w:tab w:val="right" w:pos="8307"/>
      </w:tabs>
      <w:adjustRightInd/>
      <w:snapToGrid w:val="0"/>
      <w:contextualSpacing w:val="0"/>
      <w:jc w:val="left"/>
    </w:pPr>
    <w:rPr>
      <w:sz w:val="18"/>
    </w:rPr>
  </w:style>
  <w:style w:type="paragraph" w:customStyle="1" w:styleId="38">
    <w:name w:val="header5b092ac4"/>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588a66c9"/>
    <w:basedOn w:val="29"/>
    <w:next w:val="1"/>
    <w:uiPriority w:val="0"/>
  </w:style>
  <w:style w:type="paragraph" w:customStyle="1" w:styleId="40">
    <w:name w:val="toc 4ab3ae7c7"/>
    <w:basedOn w:val="29"/>
    <w:next w:val="1"/>
    <w:uiPriority w:val="0"/>
    <w:pPr>
      <w:ind w:left="1260"/>
    </w:pPr>
  </w:style>
  <w:style w:type="paragraph" w:customStyle="1" w:styleId="41">
    <w:name w:val="toc 2bff70b0b"/>
    <w:basedOn w:val="29"/>
    <w:next w:val="1"/>
    <w:uiPriority w:val="0"/>
    <w:pPr>
      <w:ind w:left="420"/>
    </w:pPr>
  </w:style>
  <w:style w:type="paragraph" w:customStyle="1" w:styleId="42">
    <w:name w:val="Normal (Web)30b23605"/>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898e85fd898e85fd"/>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bd9b7c4cbd9b7c4c"/>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7ed400b77ed400b7"/>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806a1328806a1328"/>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6c17d0cf6c17d0cf"/>
    <w:uiPriority w:val="0"/>
  </w:style>
  <w:style w:type="paragraph" w:customStyle="1" w:styleId="49">
    <w:name w:val="引文目录1d3af61f5d3af61f5"/>
    <w:basedOn w:val="44"/>
    <w:next w:val="1"/>
    <w:uiPriority w:val="0"/>
    <w:pPr>
      <w:ind w:left="200" w:leftChars="200"/>
    </w:pPr>
  </w:style>
  <w:style w:type="paragraph" w:customStyle="1" w:styleId="50">
    <w:name w:val="toc 5b6673833b6673833"/>
    <w:basedOn w:val="44"/>
    <w:next w:val="1"/>
    <w:uiPriority w:val="0"/>
    <w:pPr>
      <w:ind w:left="1680"/>
    </w:pPr>
  </w:style>
  <w:style w:type="paragraph" w:customStyle="1" w:styleId="51">
    <w:name w:val="toc 37237fd997237fd99"/>
    <w:basedOn w:val="44"/>
    <w:next w:val="1"/>
    <w:uiPriority w:val="0"/>
    <w:pPr>
      <w:ind w:left="840"/>
    </w:pPr>
  </w:style>
  <w:style w:type="paragraph" w:customStyle="1" w:styleId="52">
    <w:name w:val="footer93778a5893778a58"/>
    <w:basedOn w:val="44"/>
    <w:uiPriority w:val="0"/>
    <w:pPr>
      <w:tabs>
        <w:tab w:val="center" w:pos="4153"/>
        <w:tab w:val="right" w:pos="8307"/>
      </w:tabs>
      <w:adjustRightInd/>
      <w:snapToGrid w:val="0"/>
      <w:contextualSpacing w:val="0"/>
      <w:jc w:val="left"/>
    </w:pPr>
    <w:rPr>
      <w:sz w:val="18"/>
    </w:rPr>
  </w:style>
  <w:style w:type="paragraph" w:customStyle="1" w:styleId="53">
    <w:name w:val="header99acaefa99acaefa"/>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373743b5373743b5"/>
    <w:basedOn w:val="44"/>
    <w:next w:val="1"/>
    <w:uiPriority w:val="0"/>
  </w:style>
  <w:style w:type="paragraph" w:customStyle="1" w:styleId="55">
    <w:name w:val="toc 47cffd9317cffd931"/>
    <w:basedOn w:val="44"/>
    <w:next w:val="1"/>
    <w:uiPriority w:val="0"/>
    <w:pPr>
      <w:ind w:left="1260"/>
    </w:pPr>
  </w:style>
  <w:style w:type="paragraph" w:customStyle="1" w:styleId="56">
    <w:name w:val="toc 21af0a4841af0a484"/>
    <w:basedOn w:val="44"/>
    <w:next w:val="1"/>
    <w:uiPriority w:val="0"/>
    <w:pPr>
      <w:ind w:left="420"/>
    </w:pPr>
  </w:style>
  <w:style w:type="paragraph" w:customStyle="1" w:styleId="57">
    <w:name w:val="列出段落1db8fd3d9db8fd3d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33</Pages>
  <Words>4074</Words>
  <Characters>4086</Characters>
  <Lines>77</Lines>
  <Paragraphs>27</Paragraphs>
  <TotalTime>9</TotalTime>
  <ScaleCrop>false</ScaleCrop>
  <LinksUpToDate>false</LinksUpToDate>
  <CharactersWithSpaces>4087</CharactersWithSpaces>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2026-08-09T20:33:56Z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02AEF6DED8204361AEB85E71A6BDE641</vt:lpwstr>
  </property>
</Properties>
</file>