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1B2620">
      <w:pPr>
        <w:pBdr>
          <w:top w:val="none" w:color="auto" w:sz="0" w:space="0"/>
          <w:left w:val="none" w:color="auto" w:sz="0" w:space="0"/>
          <w:bottom w:val="none" w:color="auto" w:sz="0" w:space="0"/>
          <w:right w:val="none" w:color="auto" w:sz="0" w:space="0"/>
        </w:pBdr>
        <w:spacing w:line="240" w:lineRule="auto"/>
        <w:jc w:val="center"/>
        <w:rPr>
          <w:rFonts w:ascii="方正黑体_GBK" w:hAnsi="方正黑体_GBK" w:eastAsia="方正黑体_GBK"/>
          <w:b/>
          <w:bCs/>
          <w:vanish w:val="0"/>
          <w:kern w:val="0"/>
          <w:sz w:val="36"/>
          <w:szCs w:val="36"/>
        </w:rPr>
      </w:pPr>
      <w:r>
        <w:rPr>
          <w:rFonts w:hint="eastAsia" w:ascii="方正黑体_GBK" w:hAnsi="方正黑体_GBK" w:eastAsia="方正黑体_GBK"/>
          <w:b/>
          <w:bCs/>
          <w:vanish w:val="0"/>
          <w:kern w:val="0"/>
          <w:sz w:val="36"/>
          <w:szCs w:val="36"/>
        </w:rPr>
        <w:t>理财产品风险揭示书</w:t>
      </w:r>
    </w:p>
    <w:p w14:paraId="42A35232">
      <w:pPr>
        <w:pBdr>
          <w:top w:val="none" w:color="auto" w:sz="0" w:space="0"/>
          <w:left w:val="none" w:color="auto" w:sz="0" w:space="0"/>
          <w:bottom w:val="none" w:color="auto" w:sz="0" w:space="0"/>
          <w:right w:val="none" w:color="auto" w:sz="0" w:space="0"/>
        </w:pBdr>
        <w:spacing w:line="240" w:lineRule="auto"/>
        <w:jc w:val="center"/>
        <w:rPr>
          <w:rFonts w:ascii="方正黑体_GBK" w:hAnsi="方正黑体_GBK" w:eastAsia="方正黑体_GBK"/>
          <w:vanish w:val="0"/>
          <w:color w:val="3D3D3D"/>
          <w:kern w:val="0"/>
          <w:sz w:val="22"/>
          <w:szCs w:val="22"/>
        </w:rPr>
      </w:pPr>
      <w:r>
        <w:rPr>
          <w:rFonts w:ascii="方正黑体_GBK" w:hAnsi="方正黑体_GBK" w:eastAsia="方正黑体_GBK"/>
          <w:b/>
          <w:bCs/>
          <w:i/>
          <w:iCs/>
          <w:vanish w:val="0"/>
          <w:kern w:val="0"/>
          <w:sz w:val="36"/>
          <w:szCs w:val="36"/>
          <w:u w:val="single"/>
        </w:rPr>
        <w:t>“</w:t>
      </w:r>
      <w:r>
        <w:rPr>
          <w:rFonts w:hint="eastAsia" w:ascii="方正黑体_GBK" w:hAnsi="方正黑体_GBK" w:eastAsia="方正黑体_GBK" w:cs="Times New Roman"/>
          <w:b/>
          <w:bCs/>
          <w:i/>
          <w:iCs/>
          <w:vanish w:val="0"/>
          <w:kern w:val="0"/>
          <w:sz w:val="36"/>
          <w:szCs w:val="36"/>
          <w:u w:val="single"/>
        </w:rPr>
        <w:t>理财非存款、产品有风险、投资须谨慎</w:t>
      </w:r>
      <w:r>
        <w:rPr>
          <w:rFonts w:ascii="方正黑体_GBK" w:hAnsi="方正黑体_GBK" w:eastAsia="方正黑体_GBK"/>
          <w:b/>
          <w:bCs/>
          <w:i/>
          <w:iCs/>
          <w:vanish w:val="0"/>
          <w:kern w:val="0"/>
          <w:sz w:val="36"/>
          <w:szCs w:val="36"/>
          <w:u w:val="single"/>
        </w:rPr>
        <w:t>”</w:t>
      </w:r>
      <w:r>
        <w:rPr>
          <w:rFonts w:hint="eastAsia" w:ascii="方正黑体_GBK" w:hAnsi="方正黑体_GBK" w:eastAsia="方正黑体_GBK"/>
          <w:b/>
          <w:bCs/>
          <w:i/>
          <w:iCs/>
          <w:vanish w:val="0"/>
          <w:kern w:val="0"/>
          <w:sz w:val="36"/>
          <w:szCs w:val="36"/>
          <w:u w:val="single"/>
        </w:rPr>
        <w:t>！</w:t>
      </w:r>
    </w:p>
    <w:p w14:paraId="2468D6A2">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360" w:firstLineChars="200"/>
        <w:rPr>
          <w:rFonts w:hint="eastAsia" w:ascii="方正黑体_GBK" w:hAnsi="方正黑体_GBK" w:eastAsia="方正黑体_GBK" w:cs="Times New Roman"/>
          <w:b/>
          <w:bCs w:val="0"/>
          <w:vanish w:val="0"/>
          <w:color w:val="3D3D3D"/>
          <w:kern w:val="0"/>
          <w:sz w:val="18"/>
          <w:szCs w:val="18"/>
        </w:rPr>
      </w:pPr>
      <w:r>
        <w:rPr>
          <w:rFonts w:hint="eastAsia" w:ascii="方正黑体_GBK" w:hAnsi="方正黑体_GBK" w:eastAsia="方正黑体_GBK"/>
          <w:b/>
          <w:bCs w:val="0"/>
          <w:vanish w:val="0"/>
          <w:color w:val="3D3D3D"/>
          <w:kern w:val="0"/>
          <w:sz w:val="18"/>
          <w:szCs w:val="18"/>
        </w:rPr>
        <w:t>本理财产品是</w:t>
      </w:r>
      <w:r>
        <w:rPr>
          <w:rFonts w:hint="eastAsia" w:ascii="方正黑体_GBK" w:hAnsi="方正黑体_GBK" w:eastAsia="方正黑体_GBK"/>
          <w:b/>
          <w:bCs w:val="0"/>
          <w:i/>
          <w:iCs/>
          <w:vanish w:val="0"/>
          <w:color w:val="3D3D3D"/>
          <w:kern w:val="0"/>
          <w:sz w:val="24"/>
          <w:szCs w:val="24"/>
          <w:u w:val="single"/>
        </w:rPr>
        <w:t>封闭式、固定收益类、公募、净值型</w:t>
      </w:r>
      <w:r>
        <w:rPr>
          <w:rFonts w:hint="eastAsia" w:ascii="方正黑体_GBK" w:hAnsi="方正黑体_GBK" w:eastAsia="方正黑体_GBK"/>
          <w:b/>
          <w:bCs w:val="0"/>
          <w:vanish w:val="0"/>
          <w:color w:val="3D3D3D"/>
          <w:kern w:val="0"/>
          <w:sz w:val="18"/>
          <w:szCs w:val="18"/>
        </w:rPr>
        <w:t>理财产品，</w:t>
      </w:r>
      <w:r>
        <w:rPr>
          <w:rFonts w:hint="eastAsia" w:ascii="方正黑体_GBK" w:hAnsi="方正黑体_GBK" w:eastAsia="方正黑体_GBK" w:cs="Times New Roman"/>
          <w:b/>
          <w:bCs w:val="0"/>
          <w:i/>
          <w:iCs/>
          <w:vanish w:val="0"/>
          <w:color w:val="3D3D3D"/>
          <w:kern w:val="0"/>
          <w:sz w:val="24"/>
          <w:szCs w:val="24"/>
          <w:u w:val="single"/>
        </w:rPr>
        <w:t>不保证本金和收益</w:t>
      </w:r>
      <w:r>
        <w:rPr>
          <w:rFonts w:hint="eastAsia" w:ascii="方正黑体_GBK" w:hAnsi="方正黑体_GBK" w:eastAsia="方正黑体_GBK"/>
          <w:b/>
          <w:bCs w:val="0"/>
          <w:vanish w:val="0"/>
          <w:color w:val="3D3D3D"/>
          <w:kern w:val="0"/>
          <w:sz w:val="18"/>
          <w:szCs w:val="18"/>
        </w:rPr>
        <w:t>，您（以下或称为</w:t>
      </w:r>
      <w:r>
        <w:rPr>
          <w:rFonts w:ascii="方正黑体_GBK" w:hAnsi="方正黑体_GBK" w:eastAsia="方正黑体_GBK"/>
          <w:b/>
          <w:bCs w:val="0"/>
          <w:vanish w:val="0"/>
          <w:color w:val="3D3D3D"/>
          <w:kern w:val="0"/>
          <w:sz w:val="18"/>
          <w:szCs w:val="18"/>
        </w:rPr>
        <w:t>“</w:t>
      </w:r>
      <w:r>
        <w:rPr>
          <w:rFonts w:hint="eastAsia" w:ascii="方正黑体_GBK" w:hAnsi="方正黑体_GBK" w:eastAsia="方正黑体_GBK"/>
          <w:b/>
          <w:bCs w:val="0"/>
          <w:vanish w:val="0"/>
          <w:color w:val="3D3D3D"/>
          <w:kern w:val="0"/>
          <w:sz w:val="18"/>
          <w:szCs w:val="18"/>
        </w:rPr>
        <w:t>投资者</w:t>
      </w:r>
      <w:r>
        <w:rPr>
          <w:rFonts w:ascii="方正黑体_GBK" w:hAnsi="方正黑体_GBK" w:eastAsia="方正黑体_GBK"/>
          <w:b/>
          <w:bCs w:val="0"/>
          <w:vanish w:val="0"/>
          <w:color w:val="3D3D3D"/>
          <w:kern w:val="0"/>
          <w:sz w:val="18"/>
          <w:szCs w:val="18"/>
        </w:rPr>
        <w:t>”</w:t>
      </w:r>
      <w:r>
        <w:rPr>
          <w:rFonts w:hint="eastAsia" w:ascii="方正黑体_GBK" w:hAnsi="方正黑体_GBK" w:eastAsia="方正黑体_GBK"/>
          <w:b/>
          <w:bCs w:val="0"/>
          <w:vanish w:val="0"/>
          <w:color w:val="3D3D3D"/>
          <w:kern w:val="0"/>
          <w:sz w:val="18"/>
          <w:szCs w:val="18"/>
        </w:rPr>
        <w:t>）的本金与收益可能会蒙受</w:t>
      </w:r>
      <w:r>
        <w:rPr>
          <w:rFonts w:hint="eastAsia" w:ascii="方正黑体_GBK" w:hAnsi="方正黑体_GBK" w:eastAsia="方正黑体_GBK" w:cs="Times New Roman"/>
          <w:b/>
          <w:bCs w:val="0"/>
          <w:vanish w:val="0"/>
          <w:color w:val="3D3D3D"/>
          <w:kern w:val="0"/>
          <w:sz w:val="18"/>
          <w:szCs w:val="18"/>
        </w:rPr>
        <w:t>全部或部分</w:t>
      </w:r>
      <w:r>
        <w:rPr>
          <w:rFonts w:hint="eastAsia" w:ascii="方正黑体_GBK" w:hAnsi="方正黑体_GBK" w:eastAsia="方正黑体_GBK"/>
          <w:b/>
          <w:bCs w:val="0"/>
          <w:vanish w:val="0"/>
          <w:color w:val="3D3D3D"/>
          <w:kern w:val="0"/>
          <w:sz w:val="18"/>
          <w:szCs w:val="18"/>
        </w:rPr>
        <w:t>损失，</w:t>
      </w:r>
      <w:r>
        <w:rPr>
          <w:rFonts w:hint="eastAsia" w:ascii="方正黑体_GBK" w:hAnsi="方正黑体_GBK" w:eastAsia="方正黑体_GBK" w:cs="Times New Roman"/>
          <w:b/>
          <w:bCs w:val="0"/>
          <w:vanish w:val="0"/>
          <w:color w:val="3D3D3D"/>
          <w:kern w:val="0"/>
          <w:sz w:val="18"/>
          <w:szCs w:val="18"/>
        </w:rPr>
        <w:t>在您选择购买本理财产品前，您应仔细阅读</w:t>
      </w:r>
      <w:r>
        <w:rPr>
          <w:rFonts w:hint="eastAsia" w:ascii="方正黑体_GBK" w:hAnsi="方正黑体_GBK" w:eastAsia="方正黑体_GBK"/>
          <w:b/>
          <w:bCs w:val="0"/>
          <w:vanish w:val="0"/>
          <w:color w:val="3D3D3D"/>
          <w:kern w:val="0"/>
          <w:sz w:val="18"/>
          <w:szCs w:val="18"/>
        </w:rPr>
        <w:t>对应期次的《理财产品风险揭示书》《理财产品说明书》《投资者权益须知》《理财产品销售协议书》</w:t>
      </w:r>
      <w:r>
        <w:rPr>
          <w:rFonts w:hint="eastAsia" w:ascii="方正黑体_GBK" w:hAnsi="方正黑体_GBK" w:eastAsia="方正黑体_GBK" w:cs="Times New Roman"/>
          <w:b/>
          <w:bCs w:val="0"/>
          <w:vanish w:val="0"/>
          <w:color w:val="3D3D3D"/>
          <w:kern w:val="0"/>
          <w:sz w:val="18"/>
          <w:szCs w:val="18"/>
        </w:rPr>
        <w:t>和《理财产品投资协议书》</w:t>
      </w:r>
      <w:r>
        <w:rPr>
          <w:rFonts w:hint="eastAsia" w:ascii="方正黑体_GBK" w:hAnsi="方正黑体_GBK" w:eastAsia="方正黑体_GBK"/>
          <w:b/>
          <w:bCs w:val="0"/>
          <w:vanish w:val="0"/>
          <w:color w:val="3D3D3D"/>
          <w:kern w:val="0"/>
          <w:sz w:val="18"/>
          <w:szCs w:val="18"/>
        </w:rPr>
        <w:t>（以下合称</w:t>
      </w:r>
      <w:r>
        <w:rPr>
          <w:rFonts w:ascii="方正黑体_GBK" w:hAnsi="方正黑体_GBK" w:eastAsia="方正黑体_GBK"/>
          <w:b/>
          <w:bCs w:val="0"/>
          <w:vanish w:val="0"/>
          <w:color w:val="3D3D3D"/>
          <w:kern w:val="0"/>
          <w:sz w:val="18"/>
          <w:szCs w:val="18"/>
        </w:rPr>
        <w:t>“</w:t>
      </w:r>
      <w:r>
        <w:rPr>
          <w:rFonts w:hint="eastAsia" w:ascii="方正黑体_GBK" w:hAnsi="方正黑体_GBK" w:eastAsia="方正黑体_GBK"/>
          <w:b/>
          <w:bCs w:val="0"/>
          <w:vanish w:val="0"/>
          <w:color w:val="3D3D3D"/>
          <w:kern w:val="0"/>
          <w:sz w:val="18"/>
          <w:szCs w:val="18"/>
        </w:rPr>
        <w:t>理财产品销售文件</w:t>
      </w:r>
      <w:r>
        <w:rPr>
          <w:rFonts w:ascii="方正黑体_GBK" w:hAnsi="方正黑体_GBK" w:eastAsia="方正黑体_GBK"/>
          <w:b/>
          <w:bCs w:val="0"/>
          <w:vanish w:val="0"/>
          <w:color w:val="3D3D3D"/>
          <w:kern w:val="0"/>
          <w:sz w:val="18"/>
          <w:szCs w:val="18"/>
        </w:rPr>
        <w:t>”</w:t>
      </w:r>
      <w:r>
        <w:rPr>
          <w:rFonts w:hint="eastAsia" w:ascii="方正黑体_GBK" w:hAnsi="方正黑体_GBK" w:eastAsia="方正黑体_GBK"/>
          <w:b/>
          <w:bCs w:val="0"/>
          <w:vanish w:val="0"/>
          <w:color w:val="3D3D3D"/>
          <w:kern w:val="0"/>
          <w:sz w:val="18"/>
          <w:szCs w:val="18"/>
        </w:rPr>
        <w:t>）</w:t>
      </w:r>
      <w:r>
        <w:rPr>
          <w:rFonts w:hint="eastAsia" w:ascii="方正黑体_GBK" w:hAnsi="方正黑体_GBK" w:eastAsia="方正黑体_GBK" w:cs="Times New Roman"/>
          <w:b/>
          <w:bCs w:val="0"/>
          <w:vanish w:val="0"/>
          <w:color w:val="3D3D3D"/>
          <w:kern w:val="0"/>
          <w:sz w:val="18"/>
          <w:szCs w:val="18"/>
        </w:rPr>
        <w:t>，了解本理财产品信息及详细</w:t>
      </w:r>
      <w:r>
        <w:rPr>
          <w:rFonts w:hint="eastAsia" w:ascii="方正黑体_GBK" w:hAnsi="方正黑体_GBK" w:eastAsia="方正黑体_GBK"/>
          <w:b/>
          <w:bCs w:val="0"/>
          <w:vanish w:val="0"/>
          <w:color w:val="3D3D3D"/>
          <w:kern w:val="0"/>
          <w:sz w:val="18"/>
          <w:szCs w:val="18"/>
        </w:rPr>
        <w:t>条款</w:t>
      </w:r>
      <w:r>
        <w:rPr>
          <w:rFonts w:hint="eastAsia" w:ascii="方正黑体_GBK" w:hAnsi="方正黑体_GBK" w:eastAsia="方正黑体_GBK" w:cs="Times New Roman"/>
          <w:b/>
          <w:bCs w:val="0"/>
          <w:vanish w:val="0"/>
          <w:color w:val="3D3D3D"/>
          <w:kern w:val="0"/>
          <w:sz w:val="18"/>
          <w:szCs w:val="18"/>
        </w:rPr>
        <w:t>。</w:t>
      </w:r>
    </w:p>
    <w:p w14:paraId="5FB05D0D">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360" w:firstLineChars="200"/>
        <w:rPr>
          <w:rFonts w:ascii="方正黑体_GBK" w:hAnsi="方正黑体_GBK" w:eastAsia="方正黑体_GBK"/>
          <w:b/>
          <w:bCs w:val="0"/>
          <w:vanish w:val="0"/>
          <w:color w:val="3D3D3D"/>
          <w:kern w:val="0"/>
          <w:sz w:val="18"/>
          <w:szCs w:val="18"/>
        </w:rPr>
      </w:pPr>
      <w:r>
        <w:rPr>
          <w:rFonts w:hint="eastAsia" w:ascii="方正黑体_GBK" w:hAnsi="方正黑体_GBK" w:eastAsia="方正黑体_GBK" w:cs="Times New Roman"/>
          <w:b/>
          <w:bCs w:val="0"/>
          <w:vanish w:val="0"/>
          <w:color w:val="3D3D3D"/>
          <w:kern w:val="0"/>
          <w:sz w:val="18"/>
          <w:szCs w:val="18"/>
        </w:rPr>
        <w:t>重要提示：</w:t>
      </w:r>
      <w:r>
        <w:rPr>
          <w:rFonts w:hint="eastAsia" w:ascii="方正黑体_GBK" w:hAnsi="方正黑体_GBK" w:eastAsia="方正黑体_GBK"/>
          <w:b/>
          <w:bCs w:val="0"/>
          <w:vanish w:val="0"/>
          <w:color w:val="3D3D3D"/>
          <w:kern w:val="0"/>
          <w:sz w:val="18"/>
          <w:szCs w:val="18"/>
        </w:rPr>
        <w:t>南银理财有限责任公司（以下简称为</w:t>
      </w:r>
      <w:r>
        <w:rPr>
          <w:rFonts w:ascii="方正黑体_GBK" w:hAnsi="方正黑体_GBK" w:eastAsia="方正黑体_GBK"/>
          <w:b/>
          <w:bCs w:val="0"/>
          <w:vanish w:val="0"/>
          <w:color w:val="3D3D3D"/>
          <w:kern w:val="0"/>
          <w:sz w:val="18"/>
          <w:szCs w:val="18"/>
        </w:rPr>
        <w:t>“</w:t>
      </w:r>
      <w:r>
        <w:rPr>
          <w:rFonts w:hint="eastAsia" w:ascii="方正黑体_GBK" w:hAnsi="方正黑体_GBK" w:eastAsia="方正黑体_GBK"/>
          <w:b/>
          <w:bCs w:val="0"/>
          <w:vanish w:val="0"/>
          <w:color w:val="3D3D3D"/>
          <w:kern w:val="0"/>
          <w:sz w:val="18"/>
          <w:szCs w:val="18"/>
        </w:rPr>
        <w:t>南银理财</w:t>
      </w:r>
      <w:r>
        <w:rPr>
          <w:rFonts w:ascii="方正黑体_GBK" w:hAnsi="方正黑体_GBK" w:eastAsia="方正黑体_GBK"/>
          <w:b/>
          <w:bCs w:val="0"/>
          <w:vanish w:val="0"/>
          <w:color w:val="3D3D3D"/>
          <w:kern w:val="0"/>
          <w:sz w:val="18"/>
          <w:szCs w:val="18"/>
        </w:rPr>
        <w:t>”</w:t>
      </w:r>
      <w:r>
        <w:rPr>
          <w:rFonts w:hint="eastAsia" w:ascii="方正黑体_GBK" w:hAnsi="方正黑体_GBK" w:eastAsia="方正黑体_GBK" w:cs="Times New Roman"/>
          <w:b/>
          <w:bCs w:val="0"/>
          <w:vanish w:val="0"/>
          <w:color w:val="3D3D3D"/>
          <w:kern w:val="0"/>
          <w:sz w:val="18"/>
          <w:szCs w:val="18"/>
        </w:rPr>
        <w:t>、“理财产品管理人”、“产品管理人”或“管理人”</w:t>
      </w:r>
      <w:r>
        <w:rPr>
          <w:rFonts w:hint="eastAsia" w:ascii="方正黑体_GBK" w:hAnsi="方正黑体_GBK" w:eastAsia="方正黑体_GBK"/>
          <w:b/>
          <w:bCs w:val="0"/>
          <w:vanish w:val="0"/>
          <w:color w:val="3D3D3D"/>
          <w:kern w:val="0"/>
          <w:sz w:val="18"/>
          <w:szCs w:val="18"/>
        </w:rPr>
        <w:t>）</w:t>
      </w:r>
      <w:r>
        <w:rPr>
          <w:rFonts w:hint="eastAsia" w:ascii="方正黑体_GBK" w:hAnsi="方正黑体_GBK" w:eastAsia="方正黑体_GBK" w:cs="Times New Roman"/>
          <w:b/>
          <w:bCs w:val="0"/>
          <w:vanish w:val="0"/>
          <w:color w:val="3D3D3D"/>
          <w:kern w:val="0"/>
          <w:sz w:val="18"/>
          <w:szCs w:val="18"/>
        </w:rPr>
        <w:t>作为本理财产品管理人将为投资者利益以诚实信用、勤勉尽职的原则管理和运用理财产品资金，但不保证理财产品本金和收益，您可能因市场变动或多种风险因素而损失全部本金且无法取得任何收益。</w:t>
      </w:r>
      <w:r>
        <w:rPr>
          <w:rFonts w:hint="eastAsia" w:ascii="方正黑体_GBK" w:hAnsi="方正黑体_GBK" w:eastAsia="方正黑体_GBK"/>
          <w:b/>
          <w:bCs w:val="0"/>
          <w:vanish w:val="0"/>
          <w:color w:val="3D3D3D"/>
          <w:kern w:val="0"/>
          <w:sz w:val="18"/>
          <w:szCs w:val="18"/>
        </w:rPr>
        <w:t>本理财产品的任何业绩比较基准、过往业绩或类似表述均属不具有法律约束力的用语，不代表您可能获得的实际收益，亦不构成南银理财对本理财产品的任何收益承诺，本理财产品最终收益率的实现将视市场情况等因素而定，</w:t>
      </w:r>
      <w:r>
        <w:rPr>
          <w:rFonts w:hint="eastAsia" w:ascii="方正黑体_GBK" w:hAnsi="方正黑体_GBK" w:eastAsia="方正黑体_GBK" w:cs="Times New Roman"/>
          <w:b/>
          <w:bCs w:val="0"/>
          <w:vanish w:val="0"/>
          <w:color w:val="3D3D3D"/>
          <w:kern w:val="0"/>
          <w:sz w:val="18"/>
          <w:szCs w:val="18"/>
        </w:rPr>
        <w:t>您应该充分认识本理财产品的投资风险，本着</w:t>
      </w:r>
      <w:r>
        <w:rPr>
          <w:rFonts w:ascii="方正黑体_GBK" w:hAnsi="方正黑体_GBK" w:eastAsia="方正黑体_GBK"/>
          <w:b/>
          <w:bCs w:val="0"/>
          <w:vanish w:val="0"/>
          <w:color w:val="3D3D3D"/>
          <w:kern w:val="0"/>
          <w:sz w:val="18"/>
          <w:szCs w:val="18"/>
        </w:rPr>
        <w:t>“</w:t>
      </w:r>
      <w:r>
        <w:rPr>
          <w:rFonts w:hint="eastAsia" w:ascii="方正黑体_GBK" w:hAnsi="方正黑体_GBK" w:eastAsia="方正黑体_GBK" w:cs="Times New Roman"/>
          <w:b/>
          <w:bCs w:val="0"/>
          <w:vanish w:val="0"/>
          <w:color w:val="3D3D3D"/>
          <w:kern w:val="0"/>
          <w:sz w:val="18"/>
          <w:szCs w:val="18"/>
        </w:rPr>
        <w:t>充分了解风险，自主选择购买</w:t>
      </w:r>
      <w:r>
        <w:rPr>
          <w:rFonts w:ascii="方正黑体_GBK" w:hAnsi="方正黑体_GBK" w:eastAsia="方正黑体_GBK"/>
          <w:b/>
          <w:bCs w:val="0"/>
          <w:vanish w:val="0"/>
          <w:color w:val="3D3D3D"/>
          <w:kern w:val="0"/>
          <w:sz w:val="18"/>
          <w:szCs w:val="18"/>
        </w:rPr>
        <w:t>”</w:t>
      </w:r>
      <w:r>
        <w:rPr>
          <w:rFonts w:hint="eastAsia" w:ascii="方正黑体_GBK" w:hAnsi="方正黑体_GBK" w:eastAsia="方正黑体_GBK" w:cs="Times New Roman"/>
          <w:b/>
          <w:bCs w:val="0"/>
          <w:vanish w:val="0"/>
          <w:color w:val="3D3D3D"/>
          <w:kern w:val="0"/>
          <w:sz w:val="18"/>
          <w:szCs w:val="18"/>
        </w:rPr>
        <w:t>的原则，谨慎决策</w:t>
      </w:r>
      <w:r>
        <w:rPr>
          <w:rFonts w:hint="eastAsia" w:ascii="方正黑体_GBK" w:hAnsi="方正黑体_GBK" w:eastAsia="方正黑体_GBK"/>
          <w:b/>
          <w:bCs w:val="0"/>
          <w:vanish w:val="0"/>
          <w:color w:val="3D3D3D"/>
          <w:kern w:val="0"/>
          <w:sz w:val="18"/>
          <w:szCs w:val="18"/>
        </w:rPr>
        <w:t>，自主决定将合法所有的自有资金用于购买本理财产品。理财产品过往业绩不代表其未来表现，不等于理财产品实际收益，</w:t>
      </w:r>
      <w:r>
        <w:rPr>
          <w:rFonts w:hint="eastAsia" w:ascii="方正黑体_GBK" w:hAnsi="方正黑体_GBK" w:eastAsia="方正黑体_GBK" w:cs="Times New Roman"/>
          <w:b/>
          <w:bCs w:val="0"/>
          <w:vanish w:val="0"/>
          <w:color w:val="3D3D3D"/>
          <w:kern w:val="0"/>
          <w:sz w:val="18"/>
          <w:szCs w:val="18"/>
        </w:rPr>
        <w:t>不构成管理人对理财产品业绩表现的保证，</w:t>
      </w:r>
      <w:r>
        <w:rPr>
          <w:rFonts w:hint="eastAsia" w:ascii="方正黑体_GBK" w:hAnsi="方正黑体_GBK" w:eastAsia="方正黑体_GBK"/>
          <w:b/>
          <w:bCs w:val="0"/>
          <w:vanish w:val="0"/>
          <w:color w:val="3D3D3D"/>
          <w:kern w:val="0"/>
          <w:sz w:val="18"/>
          <w:szCs w:val="18"/>
        </w:rPr>
        <w:t>投资须谨慎</w:t>
      </w:r>
      <w:r>
        <w:rPr>
          <w:rFonts w:hint="eastAsia" w:ascii="方正黑体_GBK" w:hAnsi="方正黑体_GBK" w:eastAsia="方正黑体_GBK" w:cs="Times New Roman"/>
          <w:b/>
          <w:bCs w:val="0"/>
          <w:vanish w:val="0"/>
          <w:color w:val="3D3D3D"/>
          <w:kern w:val="0"/>
          <w:sz w:val="18"/>
          <w:szCs w:val="18"/>
        </w:rPr>
        <w:t>！</w:t>
      </w:r>
      <w:r>
        <w:rPr>
          <w:rFonts w:hint="eastAsia" w:ascii="方正黑体_GBK" w:hAnsi="方正黑体_GBK" w:eastAsia="方正黑体_GBK"/>
          <w:b/>
          <w:bCs w:val="0"/>
          <w:vanish w:val="0"/>
          <w:color w:val="3D3D3D"/>
          <w:kern w:val="0"/>
          <w:sz w:val="18"/>
          <w:szCs w:val="18"/>
        </w:rPr>
        <w:t>在购买本理财产品后，您应随时关注产品的信息披露情况，及时获取相关信息。</w:t>
      </w:r>
    </w:p>
    <w:p w14:paraId="0C4DEC2D">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360" w:firstLineChars="200"/>
        <w:rPr>
          <w:rFonts w:ascii="方正黑体_GBK" w:hAnsi="方正黑体_GBK" w:eastAsia="方正黑体_GBK"/>
          <w:vanish w:val="0"/>
          <w:color w:val="3D3D3D"/>
          <w:kern w:val="0"/>
          <w:sz w:val="18"/>
          <w:szCs w:val="18"/>
        </w:rPr>
      </w:pPr>
      <w:r>
        <w:rPr>
          <w:rFonts w:hint="eastAsia" w:ascii="方正黑体_GBK" w:hAnsi="方正黑体_GBK" w:eastAsia="方正黑体_GBK"/>
          <w:b/>
          <w:bCs w:val="0"/>
          <w:vanish w:val="0"/>
          <w:color w:val="3D3D3D"/>
          <w:kern w:val="0"/>
          <w:sz w:val="18"/>
          <w:szCs w:val="18"/>
        </w:rPr>
        <w:t>本风险揭示书列示的风险指理财产品项下可能涉及的风险，包括但不限于：</w:t>
      </w:r>
    </w:p>
    <w:p w14:paraId="77542503">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0" w:beforeAutospacing="0" w:after="0" w:afterAutospacing="0" w:line="240" w:lineRule="auto"/>
        <w:ind w:firstLine="360" w:firstLineChars="20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第一条</w:t>
      </w:r>
      <w:r>
        <w:rPr>
          <w:rFonts w:ascii="方正黑体_GBK" w:hAnsi="方正黑体_GBK" w:eastAsia="方正黑体_GBK"/>
          <w:vanish w:val="0"/>
          <w:color w:val="3D3D3D"/>
          <w:kern w:val="0"/>
          <w:sz w:val="18"/>
          <w:szCs w:val="18"/>
        </w:rPr>
        <w:t xml:space="preserve"> </w:t>
      </w:r>
      <w:r>
        <w:rPr>
          <w:rFonts w:hint="eastAsia" w:ascii="方正黑体_GBK" w:hAnsi="方正黑体_GBK" w:eastAsia="方正黑体_GBK"/>
          <w:vanish w:val="0"/>
          <w:color w:val="3D3D3D"/>
          <w:kern w:val="0"/>
          <w:sz w:val="18"/>
          <w:szCs w:val="18"/>
        </w:rPr>
        <w:t>理财产品共性风险提示和管控措施</w:t>
      </w:r>
    </w:p>
    <w:p w14:paraId="2D4A1254">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（一）政策风险：</w:t>
      </w:r>
      <w:r>
        <w:rPr>
          <w:rFonts w:hint="eastAsia" w:ascii="方正黑体_GBK" w:hAnsi="方正黑体_GBK" w:eastAsia="方正黑体_GBK" w:cs="Times New Roman"/>
          <w:vanish w:val="0"/>
          <w:color w:val="3D3D3D"/>
          <w:kern w:val="0"/>
          <w:sz w:val="18"/>
          <w:szCs w:val="18"/>
        </w:rPr>
        <w:t>本</w:t>
      </w:r>
      <w:r>
        <w:rPr>
          <w:rFonts w:hint="eastAsia" w:ascii="方正黑体_GBK" w:hAnsi="方正黑体_GBK" w:eastAsia="方正黑体_GBK"/>
          <w:vanish w:val="0"/>
          <w:color w:val="3D3D3D"/>
          <w:kern w:val="0"/>
          <w:sz w:val="18"/>
          <w:szCs w:val="18"/>
        </w:rPr>
        <w:t>理财产品是根据当前相关法律法规、监管规定和政策设计的。理财产品在实际运作过程中，如遇到国家宏观政策和相关法律法规、监管规定发生变化，影响理财产品的发行、管理、投资运作和清算分配等业务的正常进行，可能</w:t>
      </w:r>
      <w:r>
        <w:rPr>
          <w:rFonts w:hint="eastAsia" w:ascii="方正黑体_GBK" w:hAnsi="方正黑体_GBK" w:eastAsia="方正黑体_GBK" w:cs="Times New Roman"/>
          <w:vanish w:val="0"/>
          <w:color w:val="3D3D3D"/>
          <w:kern w:val="0"/>
          <w:sz w:val="18"/>
          <w:szCs w:val="18"/>
        </w:rPr>
        <w:t>导致</w:t>
      </w:r>
      <w:r>
        <w:rPr>
          <w:rFonts w:hint="eastAsia" w:ascii="方正黑体_GBK" w:hAnsi="方正黑体_GBK" w:eastAsia="方正黑体_GBK"/>
          <w:vanish w:val="0"/>
          <w:color w:val="3D3D3D"/>
          <w:kern w:val="0"/>
          <w:sz w:val="18"/>
          <w:szCs w:val="18"/>
        </w:rPr>
        <w:t>理财产品的收益降低</w:t>
      </w:r>
      <w:r>
        <w:rPr>
          <w:rFonts w:hint="eastAsia" w:ascii="方正黑体_GBK" w:hAnsi="方正黑体_GBK" w:eastAsia="方正黑体_GBK" w:cs="Times New Roman"/>
          <w:vanish w:val="0"/>
          <w:color w:val="3D3D3D"/>
          <w:kern w:val="0"/>
          <w:sz w:val="18"/>
          <w:szCs w:val="18"/>
        </w:rPr>
        <w:t>或无法取得任何收益</w:t>
      </w:r>
      <w:r>
        <w:rPr>
          <w:rFonts w:hint="eastAsia" w:ascii="方正黑体_GBK" w:hAnsi="方正黑体_GBK" w:eastAsia="方正黑体_GBK"/>
          <w:vanish w:val="0"/>
          <w:color w:val="3D3D3D"/>
          <w:kern w:val="0"/>
          <w:sz w:val="18"/>
          <w:szCs w:val="18"/>
        </w:rPr>
        <w:t>甚至本理财产品的本金遭受</w:t>
      </w:r>
      <w:r>
        <w:rPr>
          <w:rFonts w:hint="eastAsia" w:ascii="方正黑体_GBK" w:hAnsi="方正黑体_GBK" w:eastAsia="方正黑体_GBK" w:cs="Times New Roman"/>
          <w:vanish w:val="0"/>
          <w:color w:val="3D3D3D"/>
          <w:kern w:val="0"/>
          <w:sz w:val="18"/>
          <w:szCs w:val="18"/>
        </w:rPr>
        <w:t>部分或全部</w:t>
      </w:r>
      <w:r>
        <w:rPr>
          <w:rFonts w:hint="eastAsia" w:ascii="方正黑体_GBK" w:hAnsi="方正黑体_GBK" w:eastAsia="方正黑体_GBK"/>
          <w:vanish w:val="0"/>
          <w:color w:val="3D3D3D"/>
          <w:kern w:val="0"/>
          <w:sz w:val="18"/>
          <w:szCs w:val="18"/>
        </w:rPr>
        <w:t>损失，也可能导致本理财产品违反国家法律、法规或者其他合同的有关规定，进而导致本理财产品被宣告无效、撤销、解除或提前终止等。</w:t>
      </w:r>
    </w:p>
    <w:p w14:paraId="566F6172">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（二）信用风险：</w:t>
      </w:r>
      <w:r>
        <w:rPr>
          <w:rFonts w:hint="eastAsia" w:ascii="方正黑体_GBK" w:hAnsi="方正黑体_GBK" w:eastAsia="方正黑体_GBK" w:cs="Times New Roman"/>
          <w:vanish w:val="0"/>
          <w:color w:val="3D3D3D"/>
          <w:kern w:val="0"/>
          <w:sz w:val="18"/>
          <w:szCs w:val="18"/>
        </w:rPr>
        <w:t>本理财产品收益来源于理财产品项下投资对象的回报。</w:t>
      </w:r>
      <w:r>
        <w:rPr>
          <w:rFonts w:hint="eastAsia" w:ascii="方正黑体_GBK" w:hAnsi="方正黑体_GBK" w:eastAsia="方正黑体_GBK"/>
          <w:vanish w:val="0"/>
          <w:color w:val="3D3D3D"/>
          <w:kern w:val="0"/>
          <w:sz w:val="18"/>
          <w:szCs w:val="18"/>
        </w:rPr>
        <w:t>本理财产品所投资的资产，可能因债务人违约或者其他原因在投资期限届满时不能足额变现，由此可能导致本理财产品的本金及收益遭受损失。</w:t>
      </w:r>
      <w:r>
        <w:rPr>
          <w:rFonts w:hint="eastAsia" w:ascii="方正黑体_GBK" w:hAnsi="方正黑体_GBK" w:eastAsia="方正黑体_GBK" w:cs="Times New Roman"/>
          <w:vanish w:val="0"/>
          <w:color w:val="3D3D3D"/>
          <w:kern w:val="0"/>
          <w:sz w:val="18"/>
          <w:szCs w:val="18"/>
        </w:rPr>
        <w:t>如果发生投资对象信用违约事件的情况下，本理财产品收益将根据基于其偿还比率测算出的投资资产价格予以确定，同时，本理财产品将保留向发生违约事件的发行主体或融资主体的追索权利，南银理财有权以理财产品管理人名义代表投资者利益行使诉讼权利或实施其他法律行为，若这些权利在未来得以实现，在扣除相关费用后，将继续向投资者进行清偿。</w:t>
      </w:r>
    </w:p>
    <w:p w14:paraId="37CA3A35">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（三）市场风险：理财产品面临的市场风险主要指因市场各种风险因子变动，使得理财产品配置资产的价格发生波动，导致理财产品本金或收益蒙受损失的风险。</w:t>
      </w:r>
    </w:p>
    <w:p w14:paraId="057FE8F0">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理财产品投资不同类型的资产可能面临的市场风险包括但不限于：</w:t>
      </w:r>
      <w:r>
        <w:rPr>
          <w:rFonts w:ascii="方正黑体_GBK" w:hAnsi="方正黑体_GBK" w:eastAsia="方正黑体_GBK"/>
          <w:vanish w:val="0"/>
          <w:color w:val="3D3D3D"/>
          <w:kern w:val="0"/>
          <w:sz w:val="18"/>
          <w:szCs w:val="18"/>
        </w:rPr>
        <w:t>1.</w:t>
      </w:r>
      <w:r>
        <w:rPr>
          <w:rFonts w:hint="eastAsia" w:ascii="方正黑体_GBK" w:hAnsi="方正黑体_GBK" w:eastAsia="方正黑体_GBK"/>
          <w:vanish w:val="0"/>
          <w:color w:val="3D3D3D"/>
          <w:kern w:val="0"/>
          <w:sz w:val="18"/>
          <w:szCs w:val="18"/>
        </w:rPr>
        <w:t>理财产品投资债券等固定收益率资产将面临利率、汇率变化等市场风险以及债券价格波动风险；</w:t>
      </w:r>
      <w:r>
        <w:rPr>
          <w:rFonts w:ascii="方正黑体_GBK" w:hAnsi="方正黑体_GBK" w:eastAsia="方正黑体_GBK"/>
          <w:vanish w:val="0"/>
          <w:color w:val="3D3D3D"/>
          <w:kern w:val="0"/>
          <w:sz w:val="18"/>
          <w:szCs w:val="18"/>
        </w:rPr>
        <w:t>2.</w:t>
      </w:r>
      <w:r>
        <w:rPr>
          <w:rFonts w:hint="eastAsia" w:ascii="方正黑体_GBK" w:hAnsi="方正黑体_GBK" w:eastAsia="方正黑体_GBK"/>
          <w:vanish w:val="0"/>
          <w:color w:val="3D3D3D"/>
          <w:kern w:val="0"/>
          <w:sz w:val="18"/>
          <w:szCs w:val="18"/>
        </w:rPr>
        <w:t>理财产品投资股票等权益类资产将面临股票价格波动风险和股票发行人的经营风险、管理风险等风险；</w:t>
      </w:r>
      <w:r>
        <w:rPr>
          <w:rFonts w:ascii="方正黑体_GBK" w:hAnsi="方正黑体_GBK" w:eastAsia="方正黑体_GBK"/>
          <w:vanish w:val="0"/>
          <w:color w:val="3D3D3D"/>
          <w:kern w:val="0"/>
          <w:sz w:val="18"/>
          <w:szCs w:val="18"/>
        </w:rPr>
        <w:t>3.</w:t>
      </w:r>
      <w:r>
        <w:rPr>
          <w:rFonts w:hint="eastAsia" w:ascii="方正黑体_GBK" w:hAnsi="方正黑体_GBK" w:eastAsia="方正黑体_GBK"/>
          <w:vanish w:val="0"/>
          <w:color w:val="3D3D3D"/>
          <w:kern w:val="0"/>
          <w:sz w:val="18"/>
          <w:szCs w:val="18"/>
        </w:rPr>
        <w:t>理财产品投资商品及金融衍生品类产品可能面临衍生品公允价值变化风险</w:t>
      </w:r>
      <w:r>
        <w:rPr>
          <w:rFonts w:hint="eastAsia" w:ascii="方正黑体_GBK" w:hAnsi="方正黑体_GBK" w:eastAsia="方正黑体_GBK" w:cs="Times New Roman"/>
          <w:vanish w:val="0"/>
          <w:color w:val="3D3D3D"/>
          <w:kern w:val="0"/>
          <w:sz w:val="18"/>
          <w:szCs w:val="18"/>
        </w:rPr>
        <w:t>等。</w:t>
      </w:r>
    </w:p>
    <w:p w14:paraId="0B21D858">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（四）流动性风险：从理财产品资产配置的角度，流动性</w:t>
      </w:r>
      <w:bookmarkStart w:id="0" w:name="_GoBack"/>
      <w:bookmarkEnd w:id="0"/>
      <w:r>
        <w:rPr>
          <w:rFonts w:hint="eastAsia" w:ascii="方正黑体_GBK" w:hAnsi="方正黑体_GBK" w:eastAsia="方正黑体_GBK"/>
          <w:vanish w:val="0"/>
          <w:color w:val="3D3D3D"/>
          <w:kern w:val="0"/>
          <w:sz w:val="18"/>
          <w:szCs w:val="18"/>
        </w:rPr>
        <w:t>风险主要是指因理财产品所配置资产缺乏流动性，使得理财期末或理财产品的开放期内（如有），无法以合理的价格及时将资产变现或因资产变现而导致的额外资金成本增加，导致理财产品本金或收益蒙受损失的风险；从投资者自身的角度，流动性风险是指</w:t>
      </w:r>
      <w:r>
        <w:rPr>
          <w:rFonts w:hint="eastAsia" w:ascii="方正黑体_GBK" w:hAnsi="方正黑体_GBK" w:eastAsia="方正黑体_GBK" w:cs="Times New Roman"/>
          <w:vanish w:val="0"/>
          <w:color w:val="3D3D3D"/>
          <w:kern w:val="0"/>
          <w:sz w:val="18"/>
          <w:szCs w:val="18"/>
        </w:rPr>
        <w:t>在理财产品存续期内的非开放日（如有）投资者不得赎回，在开放日（如有）可能因发生理财产品说明书中约定的限制赎回情况，导致投资者在需要资金时无法随时变现，</w:t>
      </w:r>
      <w:r>
        <w:rPr>
          <w:rFonts w:hint="eastAsia" w:ascii="方正黑体_GBK" w:hAnsi="方正黑体_GBK" w:eastAsia="方正黑体_GBK"/>
          <w:vanish w:val="0"/>
          <w:color w:val="3D3D3D"/>
          <w:kern w:val="0"/>
          <w:sz w:val="18"/>
          <w:szCs w:val="18"/>
        </w:rPr>
        <w:t>当市场上出现更高收益的产品时，将有可能</w:t>
      </w:r>
      <w:r>
        <w:rPr>
          <w:rFonts w:hint="eastAsia" w:ascii="方正黑体_GBK" w:hAnsi="方正黑体_GBK" w:eastAsia="方正黑体_GBK" w:cs="Times New Roman"/>
          <w:vanish w:val="0"/>
          <w:color w:val="3D3D3D"/>
          <w:kern w:val="0"/>
          <w:sz w:val="18"/>
          <w:szCs w:val="18"/>
        </w:rPr>
        <w:t>导致投资者</w:t>
      </w:r>
      <w:r>
        <w:rPr>
          <w:rFonts w:hint="eastAsia" w:ascii="方正黑体_GBK" w:hAnsi="方正黑体_GBK" w:eastAsia="方正黑体_GBK"/>
          <w:vanish w:val="0"/>
          <w:color w:val="3D3D3D"/>
          <w:kern w:val="0"/>
          <w:sz w:val="18"/>
          <w:szCs w:val="18"/>
        </w:rPr>
        <w:t>因此丧失其他投资机会。</w:t>
      </w:r>
    </w:p>
    <w:p w14:paraId="1A88F0A8">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（五）交易对手风险：理财产品面临的交易对手风险主要是指南银理财为理财产品配置资产的过程中，因交易对手交易失误、过错等原因，导致理财产品本金或收益蒙受损失的风险。</w:t>
      </w:r>
    </w:p>
    <w:p w14:paraId="4B4A2651">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六）利率、汇率及通货膨胀风险：在本理财产品存续期限内，金融市场利率、汇率的波动会直接导致证券市场的价格和收益率的变动，影响企业的融资成本和利润。对于债券等资产，其收益水平会受到利率、汇率等变化的影响，导致公允价值波动，从而导致产品单位净值下跌甚至本金损失的风险。同时，本理财产品存在实际收益率可能低于通货膨胀率，从而导致投资者实际收益为负的风险。</w:t>
      </w:r>
    </w:p>
    <w:p w14:paraId="43FAC17F">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七）抵质押物变现风险：本理财产品部分投资资产项下可能设定抵质押等担保品，如发生该部分投资资产项下相应义务人违约等情形时，将会对抵质押物进行处置，如抵质押物等不能变现或不能及时、足额变现或抵质押物的变现价值不足以覆盖该部分投资资产本金及投资收益，则可能影响投资者收益，发生本理财产品净值下跌甚至本金损失的情况。</w:t>
      </w:r>
    </w:p>
    <w:p w14:paraId="6BACD3CA">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（八）</w:t>
      </w:r>
      <w:r>
        <w:rPr>
          <w:rFonts w:hint="eastAsia" w:ascii="方正黑体_GBK" w:hAnsi="方正黑体_GBK" w:eastAsia="方正黑体_GBK" w:cs="Times New Roman"/>
          <w:vanish w:val="0"/>
          <w:color w:val="3D3D3D"/>
          <w:kern w:val="0"/>
          <w:sz w:val="18"/>
          <w:szCs w:val="18"/>
        </w:rPr>
        <w:t>理财</w:t>
      </w:r>
      <w:r>
        <w:rPr>
          <w:rFonts w:hint="eastAsia" w:ascii="方正黑体_GBK" w:hAnsi="方正黑体_GBK" w:eastAsia="方正黑体_GBK"/>
          <w:vanish w:val="0"/>
          <w:color w:val="3D3D3D"/>
          <w:kern w:val="0"/>
          <w:sz w:val="18"/>
          <w:szCs w:val="18"/>
        </w:rPr>
        <w:t>产品不成立风险：如果本理财产品募集期限届满，因募集规模低于理财说明书约定的规模下限（如有）或其它因素导致本理财产品不能成立的情形，经南银理财合理判断难以按照对应期次《理财产品说明书》的规定向投资者提供本理财服务的，南银理财有权宣布</w:t>
      </w:r>
      <w:r>
        <w:rPr>
          <w:rFonts w:hint="eastAsia" w:ascii="方正黑体_GBK" w:hAnsi="方正黑体_GBK" w:eastAsia="方正黑体_GBK" w:cs="Times New Roman"/>
          <w:vanish w:val="0"/>
          <w:color w:val="3D3D3D"/>
          <w:kern w:val="0"/>
          <w:sz w:val="18"/>
          <w:szCs w:val="18"/>
        </w:rPr>
        <w:t>（或通过销售机构通知）</w:t>
      </w:r>
      <w:r>
        <w:rPr>
          <w:rFonts w:hint="eastAsia" w:ascii="方正黑体_GBK" w:hAnsi="方正黑体_GBK" w:eastAsia="方正黑体_GBK"/>
          <w:vanish w:val="0"/>
          <w:color w:val="3D3D3D"/>
          <w:kern w:val="0"/>
          <w:sz w:val="18"/>
          <w:szCs w:val="18"/>
        </w:rPr>
        <w:t>理财产品不成立且不承担任何违约责任，投资者将面临再投资风险。</w:t>
      </w:r>
    </w:p>
    <w:p w14:paraId="674D6429">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（九）延期分配风险：如因理财产品投资的资产</w:t>
      </w:r>
      <w:r>
        <w:rPr>
          <w:rFonts w:hint="eastAsia" w:ascii="方正黑体_GBK" w:hAnsi="方正黑体_GBK" w:eastAsia="方正黑体_GBK" w:cs="Times New Roman"/>
          <w:vanish w:val="0"/>
          <w:color w:val="3D3D3D"/>
          <w:kern w:val="0"/>
          <w:sz w:val="18"/>
          <w:szCs w:val="18"/>
        </w:rPr>
        <w:t>市场流动性不足或受限导致未能正常买卖结算，或投资资产正常到期，投资资产相关发行人或融资主体未能及时偿付本息，所投资工具</w:t>
      </w:r>
      <w:r>
        <w:rPr>
          <w:rFonts w:hint="eastAsia" w:ascii="方正黑体_GBK" w:hAnsi="方正黑体_GBK" w:eastAsia="方正黑体_GBK"/>
          <w:vanish w:val="0"/>
          <w:color w:val="3D3D3D"/>
          <w:kern w:val="0"/>
          <w:sz w:val="18"/>
          <w:szCs w:val="18"/>
        </w:rPr>
        <w:t>无法及时变现等原因造成不能按时支付理财产品本金和收益，则投资者面临理财产品期限延期、调整等风险。</w:t>
      </w:r>
    </w:p>
    <w:p w14:paraId="447557E4">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（十）提前终止风险：在理财产品存续期内，南银理财有权根据市场变化等情况提前终止本理财产品，一旦理财产品被提前终止，投资者可能面临再投资风险、本金和收益蒙受损失的风险。</w:t>
      </w:r>
    </w:p>
    <w:p w14:paraId="25A951CA">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b/>
          <w:bCs/>
          <w:vanish w:val="0"/>
          <w:color w:val="3D3D3D"/>
          <w:kern w:val="0"/>
          <w:sz w:val="18"/>
          <w:szCs w:val="18"/>
        </w:rPr>
      </w:pPr>
      <w:r>
        <w:rPr>
          <w:rFonts w:hint="eastAsia" w:ascii="方正黑体_GBK" w:hAnsi="方正黑体_GBK" w:eastAsia="方正黑体_GBK"/>
          <w:b/>
          <w:bCs/>
          <w:vanish w:val="0"/>
          <w:color w:val="3D3D3D"/>
          <w:kern w:val="0"/>
          <w:sz w:val="18"/>
          <w:szCs w:val="18"/>
        </w:rPr>
        <w:t>（十一）信息传递风险：是指由于投资者未能及时主动了解产品信息，或由于通信故障、系统故障以及其他不可抗力等因素的影响，使得投资者无法及时了解产品信息，而导致投资者无法及时做出合理决策，致使投资</w:t>
      </w:r>
      <w:r>
        <w:rPr>
          <w:rFonts w:hint="eastAsia" w:ascii="方正黑体_GBK" w:hAnsi="方正黑体_GBK" w:eastAsia="方正黑体_GBK" w:cs="Times New Roman"/>
          <w:b/>
          <w:bCs/>
          <w:vanish w:val="0"/>
          <w:color w:val="3D3D3D"/>
          <w:kern w:val="0"/>
          <w:sz w:val="18"/>
          <w:szCs w:val="18"/>
        </w:rPr>
        <w:t>者</w:t>
      </w:r>
      <w:r>
        <w:rPr>
          <w:rFonts w:hint="eastAsia" w:ascii="方正黑体_GBK" w:hAnsi="方正黑体_GBK" w:eastAsia="方正黑体_GBK"/>
          <w:b/>
          <w:bCs/>
          <w:vanish w:val="0"/>
          <w:color w:val="3D3D3D"/>
          <w:kern w:val="0"/>
          <w:sz w:val="18"/>
          <w:szCs w:val="18"/>
        </w:rPr>
        <w:t>蒙受损失的风险。</w:t>
      </w:r>
    </w:p>
    <w:p w14:paraId="626A89C7">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b/>
          <w:bCs/>
          <w:vanish w:val="0"/>
          <w:color w:val="3D3D3D"/>
          <w:kern w:val="0"/>
          <w:sz w:val="18"/>
          <w:szCs w:val="18"/>
        </w:rPr>
      </w:pPr>
      <w:r>
        <w:rPr>
          <w:rFonts w:hint="eastAsia" w:ascii="方正黑体_GBK" w:hAnsi="方正黑体_GBK" w:eastAsia="方正黑体_GBK"/>
          <w:b/>
          <w:bCs/>
          <w:vanish w:val="0"/>
          <w:color w:val="3D3D3D"/>
          <w:kern w:val="0"/>
          <w:sz w:val="18"/>
          <w:szCs w:val="18"/>
        </w:rPr>
        <w:t>南银理财按照对应期次《理财产品说明书》有关条款的约定，发布当期理财产品的运作、到期清算或提前终止等信息公告</w:t>
      </w:r>
      <w:r>
        <w:rPr>
          <w:rFonts w:hint="eastAsia" w:ascii="方正黑体_GBK" w:hAnsi="方正黑体_GBK" w:eastAsia="方正黑体_GBK" w:cs="Times New Roman"/>
          <w:b/>
          <w:bCs/>
          <w:vanish w:val="0"/>
          <w:color w:val="3D3D3D"/>
          <w:kern w:val="0"/>
          <w:sz w:val="18"/>
          <w:szCs w:val="18"/>
        </w:rPr>
        <w:t>或报告</w:t>
      </w:r>
      <w:r>
        <w:rPr>
          <w:rFonts w:hint="eastAsia" w:ascii="方正黑体_GBK" w:hAnsi="方正黑体_GBK" w:eastAsia="方正黑体_GBK"/>
          <w:b/>
          <w:bCs/>
          <w:vanish w:val="0"/>
          <w:color w:val="3D3D3D"/>
          <w:kern w:val="0"/>
          <w:sz w:val="18"/>
          <w:szCs w:val="18"/>
        </w:rPr>
        <w:t>。投资者应根据《理财产品说明书》中约定的</w:t>
      </w:r>
      <w:r>
        <w:rPr>
          <w:rFonts w:hint="eastAsia" w:ascii="方正黑体_GBK" w:hAnsi="方正黑体_GBK" w:eastAsia="方正黑体_GBK" w:cs="Times New Roman"/>
          <w:b/>
          <w:bCs/>
          <w:vanish w:val="0"/>
          <w:color w:val="3D3D3D"/>
          <w:kern w:val="0"/>
          <w:sz w:val="18"/>
          <w:szCs w:val="18"/>
        </w:rPr>
        <w:t>信息披露</w:t>
      </w:r>
      <w:r>
        <w:rPr>
          <w:rFonts w:hint="eastAsia" w:ascii="方正黑体_GBK" w:hAnsi="方正黑体_GBK" w:eastAsia="方正黑体_GBK"/>
          <w:b/>
          <w:bCs/>
          <w:vanish w:val="0"/>
          <w:color w:val="3D3D3D"/>
          <w:kern w:val="0"/>
          <w:sz w:val="18"/>
          <w:szCs w:val="18"/>
        </w:rPr>
        <w:t>渠道及时查询相关信息</w:t>
      </w:r>
      <w:r>
        <w:rPr>
          <w:rFonts w:hint="eastAsia" w:ascii="方正黑体_GBK" w:hAnsi="方正黑体_GBK" w:eastAsia="方正黑体_GBK" w:cs="Times New Roman"/>
          <w:b/>
          <w:bCs/>
          <w:vanish w:val="0"/>
          <w:color w:val="3D3D3D"/>
          <w:kern w:val="0"/>
          <w:sz w:val="18"/>
          <w:szCs w:val="18"/>
        </w:rPr>
        <w:t>，</w:t>
      </w:r>
      <w:r>
        <w:rPr>
          <w:rFonts w:hint="eastAsia" w:ascii="方正黑体_GBK" w:hAnsi="方正黑体_GBK" w:eastAsia="方正黑体_GBK"/>
          <w:b/>
          <w:bCs/>
          <w:vanish w:val="0"/>
          <w:color w:val="3D3D3D"/>
          <w:kern w:val="0"/>
          <w:sz w:val="18"/>
          <w:szCs w:val="18"/>
        </w:rPr>
        <w:t>以获知有关本理财产品相关信息，如果投资者未及时查询，或由于通信故障、系统故障以及其他不可抗力等因素的影响使得投资者无法及时了解产品信息，</w:t>
      </w:r>
      <w:r>
        <w:rPr>
          <w:rFonts w:hint="eastAsia" w:ascii="方正黑体_GBK" w:hAnsi="方正黑体_GBK" w:eastAsia="方正黑体_GBK" w:cs="Times New Roman"/>
          <w:b/>
          <w:bCs/>
          <w:vanish w:val="0"/>
          <w:color w:val="3D3D3D"/>
          <w:kern w:val="0"/>
          <w:sz w:val="18"/>
          <w:szCs w:val="18"/>
        </w:rPr>
        <w:t>投资者承担</w:t>
      </w:r>
      <w:r>
        <w:rPr>
          <w:rFonts w:hint="eastAsia" w:ascii="方正黑体_GBK" w:hAnsi="方正黑体_GBK" w:eastAsia="方正黑体_GBK"/>
          <w:b/>
          <w:bCs/>
          <w:vanish w:val="0"/>
          <w:color w:val="3D3D3D"/>
          <w:kern w:val="0"/>
          <w:sz w:val="18"/>
          <w:szCs w:val="18"/>
        </w:rPr>
        <w:t>因此而产生的责任和风险。</w:t>
      </w:r>
    </w:p>
    <w:p w14:paraId="6C361BE8">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b/>
          <w:bCs/>
          <w:vanish w:val="0"/>
          <w:color w:val="3D3D3D"/>
          <w:kern w:val="0"/>
          <w:sz w:val="18"/>
          <w:szCs w:val="18"/>
        </w:rPr>
      </w:pPr>
      <w:r>
        <w:rPr>
          <w:rFonts w:hint="eastAsia" w:ascii="方正黑体_GBK" w:hAnsi="方正黑体_GBK" w:eastAsia="方正黑体_GBK" w:cs="Times New Roman"/>
          <w:b/>
          <w:bCs/>
          <w:vanish w:val="0"/>
          <w:color w:val="3D3D3D"/>
          <w:kern w:val="0"/>
          <w:sz w:val="18"/>
          <w:szCs w:val="18"/>
        </w:rPr>
        <w:t>投资者预留在南银理财或销售机构的有效联系方式变更的，应及时通知南银理财或销售机构。如投资者未及时告知南银理财或销售机构联系方式变更，造成南银理财或销售机构在需要时无法联系投资者，并由此影响投资者的投资决策，因此而产生的责任和风险由投资者自行承担。</w:t>
      </w:r>
    </w:p>
    <w:p w14:paraId="75FC4BC3">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（十二）不可抗力及意外事件风险：理财产品面临的不可抗力及意外事件风险是指</w:t>
      </w:r>
      <w:r>
        <w:rPr>
          <w:rFonts w:hint="eastAsia" w:ascii="方正黑体_GBK" w:hAnsi="方正黑体_GBK" w:eastAsia="方正黑体_GBK" w:cs="Times New Roman"/>
          <w:vanish w:val="0"/>
          <w:color w:val="3D3D3D"/>
          <w:kern w:val="0"/>
          <w:sz w:val="18"/>
          <w:szCs w:val="18"/>
        </w:rPr>
        <w:t>《理财产品说明书》规定的不可抗力或</w:t>
      </w:r>
      <w:r>
        <w:rPr>
          <w:rFonts w:hint="eastAsia" w:ascii="方正黑体_GBK" w:hAnsi="方正黑体_GBK" w:eastAsia="方正黑体_GBK"/>
          <w:vanish w:val="0"/>
          <w:color w:val="3D3D3D"/>
          <w:kern w:val="0"/>
          <w:sz w:val="18"/>
          <w:szCs w:val="18"/>
        </w:rPr>
        <w:t>南银理财、</w:t>
      </w:r>
      <w:r>
        <w:rPr>
          <w:rFonts w:hint="eastAsia" w:ascii="方正黑体_GBK" w:hAnsi="方正黑体_GBK" w:eastAsia="方正黑体_GBK" w:cs="Times New Roman"/>
          <w:vanish w:val="0"/>
          <w:color w:val="3D3D3D"/>
          <w:kern w:val="0"/>
          <w:sz w:val="18"/>
          <w:szCs w:val="18"/>
        </w:rPr>
        <w:t>销售机构</w:t>
      </w:r>
      <w:r>
        <w:rPr>
          <w:rFonts w:hint="eastAsia" w:ascii="方正黑体_GBK" w:hAnsi="方正黑体_GBK" w:eastAsia="方正黑体_GBK"/>
          <w:vanish w:val="0"/>
          <w:color w:val="3D3D3D"/>
          <w:kern w:val="0"/>
          <w:sz w:val="18"/>
          <w:szCs w:val="18"/>
        </w:rPr>
        <w:t>、托管机构系统故障、通讯故障、投资市场停止交易等意外事件的出现，严重影响金融市场的正常运行，从而</w:t>
      </w:r>
      <w:r>
        <w:rPr>
          <w:rFonts w:hint="eastAsia" w:ascii="方正黑体_GBK" w:hAnsi="方正黑体_GBK" w:eastAsia="方正黑体_GBK" w:cs="Times New Roman"/>
          <w:vanish w:val="0"/>
          <w:color w:val="3D3D3D"/>
          <w:kern w:val="0"/>
          <w:sz w:val="18"/>
          <w:szCs w:val="18"/>
        </w:rPr>
        <w:t>对</w:t>
      </w:r>
      <w:r>
        <w:rPr>
          <w:rFonts w:hint="eastAsia" w:ascii="方正黑体_GBK" w:hAnsi="方正黑体_GBK" w:eastAsia="方正黑体_GBK"/>
          <w:vanish w:val="0"/>
          <w:color w:val="3D3D3D"/>
          <w:kern w:val="0"/>
          <w:sz w:val="18"/>
          <w:szCs w:val="18"/>
        </w:rPr>
        <w:t>理财产品的成立、发行、投资运作、资金返还、信息披露、公告通知等造成影响，甚至影响理财产品的受理、投资、分配等事宜的正常进行，进而导致投资者蒙受</w:t>
      </w:r>
      <w:r>
        <w:rPr>
          <w:rFonts w:hint="eastAsia" w:ascii="方正黑体_GBK" w:hAnsi="方正黑体_GBK" w:eastAsia="方正黑体_GBK" w:cs="Times New Roman"/>
          <w:vanish w:val="0"/>
          <w:color w:val="3D3D3D"/>
          <w:kern w:val="0"/>
          <w:sz w:val="18"/>
          <w:szCs w:val="18"/>
        </w:rPr>
        <w:t>本金和收益遭受</w:t>
      </w:r>
      <w:r>
        <w:rPr>
          <w:rFonts w:hint="eastAsia" w:ascii="方正黑体_GBK" w:hAnsi="方正黑体_GBK" w:eastAsia="方正黑体_GBK"/>
          <w:vanish w:val="0"/>
          <w:color w:val="3D3D3D"/>
          <w:kern w:val="0"/>
          <w:sz w:val="18"/>
          <w:szCs w:val="18"/>
        </w:rPr>
        <w:t>损失的风险。</w:t>
      </w:r>
      <w:r>
        <w:rPr>
          <w:rFonts w:hint="eastAsia" w:ascii="方正黑体_GBK" w:hAnsi="方正黑体_GBK" w:eastAsia="方正黑体_GBK" w:cs="Times New Roman"/>
          <w:vanish w:val="0"/>
          <w:color w:val="3D3D3D"/>
          <w:kern w:val="0"/>
          <w:sz w:val="18"/>
          <w:szCs w:val="18"/>
        </w:rPr>
        <w:t>因不可抗力及意外事件风险导致的任何损失，</w:t>
      </w:r>
      <w:r>
        <w:rPr>
          <w:rFonts w:hint="eastAsia" w:ascii="方正黑体_GBK" w:hAnsi="方正黑体_GBK" w:eastAsia="方正黑体_GBK"/>
          <w:vanish w:val="0"/>
          <w:color w:val="3D3D3D"/>
          <w:kern w:val="0"/>
          <w:sz w:val="18"/>
          <w:szCs w:val="18"/>
        </w:rPr>
        <w:t>由投资者</w:t>
      </w:r>
      <w:r>
        <w:rPr>
          <w:rFonts w:hint="eastAsia" w:ascii="方正黑体_GBK" w:hAnsi="方正黑体_GBK" w:eastAsia="方正黑体_GBK" w:cs="Times New Roman"/>
          <w:vanish w:val="0"/>
          <w:color w:val="3D3D3D"/>
          <w:kern w:val="0"/>
          <w:sz w:val="18"/>
          <w:szCs w:val="18"/>
        </w:rPr>
        <w:t>自行</w:t>
      </w:r>
      <w:r>
        <w:rPr>
          <w:rFonts w:hint="eastAsia" w:ascii="方正黑体_GBK" w:hAnsi="方正黑体_GBK" w:eastAsia="方正黑体_GBK"/>
          <w:vanish w:val="0"/>
          <w:color w:val="3D3D3D"/>
          <w:kern w:val="0"/>
          <w:sz w:val="18"/>
          <w:szCs w:val="18"/>
        </w:rPr>
        <w:t>承担。</w:t>
      </w:r>
    </w:p>
    <w:p w14:paraId="1B6D4E13">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（十三）税收风险：南银理财暂不负责代扣代缴投资者购买本理财产品所得收益应缴纳的各项税款。若相关税</w:t>
      </w:r>
      <w:r>
        <w:rPr>
          <w:rFonts w:hint="eastAsia" w:ascii="方正黑体_GBK" w:hAnsi="方正黑体_GBK" w:eastAsia="方正黑体_GBK" w:cs="Times New Roman"/>
          <w:vanish w:val="0"/>
          <w:color w:val="3D3D3D"/>
          <w:kern w:val="0"/>
          <w:sz w:val="18"/>
          <w:szCs w:val="18"/>
        </w:rPr>
        <w:t>收</w:t>
      </w:r>
      <w:r>
        <w:rPr>
          <w:rFonts w:hint="eastAsia" w:ascii="方正黑体_GBK" w:hAnsi="方正黑体_GBK" w:eastAsia="方正黑体_GBK"/>
          <w:vanish w:val="0"/>
          <w:color w:val="3D3D3D"/>
          <w:kern w:val="0"/>
          <w:sz w:val="18"/>
          <w:szCs w:val="18"/>
        </w:rPr>
        <w:t>法规规定理财产品管理人应代扣代缴相关税款，南银理财有权依法履行代扣代缴义务，则投资者面临其取得的收益扣减相应税费的风险。此外，税收法规的执行及修订可能对本理财产品投资运作等过程中需缴纳的相关税费产生影响，可能影响投资者收益，甚至造成本理财产品单位净值下跌、本金损失的情况。</w:t>
      </w:r>
    </w:p>
    <w:p w14:paraId="46EC2D88">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（十四）管理风险：在产品运作过程中，受产品管理人经验、技能、判断力、执行力等方面的限制，可能对产品的运作及管理造成一定影响，并因此影响投资者收益，甚至造成本理财产品净值下跌、本金损失。</w:t>
      </w:r>
    </w:p>
    <w:p w14:paraId="21F01EA4">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（十五）操作风险：若管理人、</w:t>
      </w:r>
      <w:r>
        <w:rPr>
          <w:rFonts w:hint="eastAsia" w:ascii="方正黑体_GBK" w:hAnsi="方正黑体_GBK" w:eastAsia="方正黑体_GBK" w:cs="Times New Roman"/>
          <w:vanish w:val="0"/>
          <w:color w:val="3D3D3D"/>
          <w:kern w:val="0"/>
          <w:sz w:val="18"/>
          <w:szCs w:val="18"/>
        </w:rPr>
        <w:t>销售机构</w:t>
      </w:r>
      <w:r>
        <w:rPr>
          <w:rFonts w:hint="eastAsia" w:ascii="方正黑体_GBK" w:hAnsi="方正黑体_GBK" w:eastAsia="方正黑体_GBK"/>
          <w:vanish w:val="0"/>
          <w:color w:val="3D3D3D"/>
          <w:kern w:val="0"/>
          <w:sz w:val="18"/>
          <w:szCs w:val="18"/>
        </w:rPr>
        <w:t>、托管机构由于内部作业、人员管理及系统操作不当或失误，处理事务不当等，可能导致本理财产品的本金及收益遭受损失。</w:t>
      </w:r>
    </w:p>
    <w:p w14:paraId="77950ECC">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（十六）代销风险：本理财产品通过代销机构销售</w:t>
      </w:r>
      <w:r>
        <w:rPr>
          <w:rFonts w:hint="eastAsia" w:ascii="方正黑体_GBK" w:hAnsi="方正黑体_GBK" w:eastAsia="方正黑体_GBK" w:cs="Times New Roman"/>
          <w:vanish w:val="0"/>
          <w:color w:val="3D3D3D"/>
          <w:kern w:val="0"/>
          <w:sz w:val="18"/>
          <w:szCs w:val="18"/>
        </w:rPr>
        <w:t>时</w:t>
      </w:r>
      <w:r>
        <w:rPr>
          <w:rFonts w:hint="eastAsia" w:ascii="方正黑体_GBK" w:hAnsi="方正黑体_GBK" w:eastAsia="方正黑体_GBK"/>
          <w:vanish w:val="0"/>
          <w:color w:val="3D3D3D"/>
          <w:kern w:val="0"/>
          <w:sz w:val="18"/>
          <w:szCs w:val="18"/>
        </w:rPr>
        <w:t>，认购</w:t>
      </w:r>
      <w:r>
        <w:rPr>
          <w:rFonts w:ascii="方正黑体_GBK" w:hAnsi="方正黑体_GBK" w:eastAsia="方正黑体_GBK"/>
          <w:vanish w:val="0"/>
          <w:color w:val="3D3D3D"/>
          <w:kern w:val="0"/>
          <w:sz w:val="18"/>
          <w:szCs w:val="18"/>
        </w:rPr>
        <w:t>/</w:t>
      </w:r>
      <w:r>
        <w:rPr>
          <w:rFonts w:hint="eastAsia" w:ascii="方正黑体_GBK" w:hAnsi="方正黑体_GBK" w:eastAsia="方正黑体_GBK"/>
          <w:vanish w:val="0"/>
          <w:color w:val="3D3D3D"/>
          <w:kern w:val="0"/>
          <w:sz w:val="18"/>
          <w:szCs w:val="18"/>
        </w:rPr>
        <w:t>申购时投资者购买理财产品的资金由代销机构从投资者账户扣收并划付管理人，赎回时理财本金和理财收益相应款项由管理人按理财</w:t>
      </w:r>
      <w:r>
        <w:rPr>
          <w:rFonts w:hint="eastAsia" w:ascii="方正黑体_GBK" w:hAnsi="方正黑体_GBK" w:eastAsia="方正黑体_GBK" w:cs="Times New Roman"/>
          <w:vanish w:val="0"/>
          <w:color w:val="3D3D3D"/>
          <w:kern w:val="0"/>
          <w:sz w:val="18"/>
          <w:szCs w:val="18"/>
        </w:rPr>
        <w:t>产品销售文件</w:t>
      </w:r>
      <w:r>
        <w:rPr>
          <w:rFonts w:hint="eastAsia" w:ascii="方正黑体_GBK" w:hAnsi="方正黑体_GBK" w:eastAsia="方正黑体_GBK"/>
          <w:vanish w:val="0"/>
          <w:color w:val="3D3D3D"/>
          <w:kern w:val="0"/>
          <w:sz w:val="18"/>
          <w:szCs w:val="18"/>
        </w:rPr>
        <w:t>约定划付至代销机构，并由代销机构向投资者支付。</w:t>
      </w:r>
      <w:r>
        <w:rPr>
          <w:rFonts w:hint="eastAsia" w:ascii="方正黑体_GBK" w:hAnsi="方正黑体_GBK" w:eastAsia="方正黑体_GBK" w:cs="Times New Roman"/>
          <w:vanish w:val="0"/>
          <w:color w:val="3D3D3D"/>
          <w:kern w:val="0"/>
          <w:sz w:val="18"/>
          <w:szCs w:val="18"/>
        </w:rPr>
        <w:t>如果投资者在代销机构的资金账户余额不足，或代销机构未及时将投资者认购</w:t>
      </w:r>
      <w:r>
        <w:rPr>
          <w:rFonts w:ascii="方正黑体_GBK" w:hAnsi="方正黑体_GBK" w:eastAsia="方正黑体_GBK" w:cs="Times New Roman"/>
          <w:vanish w:val="0"/>
          <w:color w:val="3D3D3D"/>
          <w:kern w:val="0"/>
          <w:sz w:val="18"/>
          <w:szCs w:val="18"/>
        </w:rPr>
        <w:t>/</w:t>
      </w:r>
      <w:r>
        <w:rPr>
          <w:rFonts w:hint="eastAsia" w:ascii="方正黑体_GBK" w:hAnsi="方正黑体_GBK" w:eastAsia="方正黑体_GBK" w:cs="Times New Roman"/>
          <w:vanish w:val="0"/>
          <w:color w:val="3D3D3D"/>
          <w:kern w:val="0"/>
          <w:sz w:val="18"/>
          <w:szCs w:val="18"/>
        </w:rPr>
        <w:t>申购资金划转至南银理财，将导致投资者无法完成认购</w:t>
      </w:r>
      <w:r>
        <w:rPr>
          <w:rFonts w:ascii="方正黑体_GBK" w:hAnsi="方正黑体_GBK" w:eastAsia="方正黑体_GBK" w:cs="Times New Roman"/>
          <w:vanish w:val="0"/>
          <w:color w:val="3D3D3D"/>
          <w:kern w:val="0"/>
          <w:sz w:val="18"/>
          <w:szCs w:val="18"/>
        </w:rPr>
        <w:t>/</w:t>
      </w:r>
      <w:r>
        <w:rPr>
          <w:rFonts w:hint="eastAsia" w:ascii="方正黑体_GBK" w:hAnsi="方正黑体_GBK" w:eastAsia="方正黑体_GBK" w:cs="Times New Roman"/>
          <w:vanish w:val="0"/>
          <w:color w:val="3D3D3D"/>
          <w:kern w:val="0"/>
          <w:sz w:val="18"/>
          <w:szCs w:val="18"/>
        </w:rPr>
        <w:t>申购，因此造成的损失南银理财不承担责任。在赎回和产品终止清算时，南银理财将投资者应得资金划转至代销机构指定账户后，由代销机构将相应应得资金划转至投资者账户。若代销机构未及时进行划付，因此造成的损失南银理财不承担任何责任。如果</w:t>
      </w:r>
      <w:r>
        <w:rPr>
          <w:rFonts w:hint="eastAsia" w:ascii="方正黑体_GBK" w:hAnsi="方正黑体_GBK" w:eastAsia="方正黑体_GBK"/>
          <w:vanish w:val="0"/>
          <w:color w:val="3D3D3D"/>
          <w:kern w:val="0"/>
          <w:sz w:val="18"/>
          <w:szCs w:val="18"/>
        </w:rPr>
        <w:t>代销机构用于划付理财产品项下资金的账户内资金被依法冻结或扣划、账户处于被挂失、冻结、注销或其他非正常状态等原因而导致交易失败的，由代销机构与投资者依法协商解决。</w:t>
      </w:r>
    </w:p>
    <w:p w14:paraId="684BB9DD">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kern w:val="0"/>
          <w:sz w:val="18"/>
          <w:szCs w:val="18"/>
        </w:rPr>
        <w:t>（十七）未知价风险：净值型产品采用</w:t>
      </w:r>
      <w:r>
        <w:rPr>
          <w:rFonts w:ascii="方正黑体_GBK" w:hAnsi="方正黑体_GBK" w:eastAsia="方正黑体_GBK"/>
          <w:vanish w:val="0"/>
          <w:color w:val="3D3D3D"/>
          <w:kern w:val="0"/>
          <w:sz w:val="18"/>
          <w:szCs w:val="18"/>
        </w:rPr>
        <w:t>“</w:t>
      </w:r>
      <w:r>
        <w:rPr>
          <w:rFonts w:hint="eastAsia" w:ascii="方正黑体_GBK" w:hAnsi="方正黑体_GBK" w:eastAsia="方正黑体_GBK"/>
          <w:vanish w:val="0"/>
          <w:color w:val="3D3D3D"/>
          <w:kern w:val="0"/>
          <w:sz w:val="18"/>
          <w:szCs w:val="18"/>
        </w:rPr>
        <w:t>金额申购、份额赎回</w:t>
      </w:r>
      <w:r>
        <w:rPr>
          <w:rFonts w:ascii="方正黑体_GBK" w:hAnsi="方正黑体_GBK" w:eastAsia="方正黑体_GBK"/>
          <w:vanish w:val="0"/>
          <w:color w:val="3D3D3D"/>
          <w:kern w:val="0"/>
          <w:sz w:val="18"/>
          <w:szCs w:val="18"/>
        </w:rPr>
        <w:t>”</w:t>
      </w:r>
      <w:r>
        <w:rPr>
          <w:rFonts w:hint="eastAsia" w:ascii="方正黑体_GBK" w:hAnsi="方正黑体_GBK" w:eastAsia="方正黑体_GBK"/>
          <w:vanish w:val="0"/>
          <w:color w:val="3D3D3D"/>
          <w:kern w:val="0"/>
          <w:sz w:val="18"/>
          <w:szCs w:val="18"/>
        </w:rPr>
        <w:t>原则，即产品认</w:t>
      </w:r>
      <w:r>
        <w:rPr>
          <w:rFonts w:ascii="方正黑体_GBK" w:hAnsi="方正黑体_GBK" w:eastAsia="方正黑体_GBK"/>
          <w:vanish w:val="0"/>
          <w:color w:val="3D3D3D"/>
          <w:kern w:val="0"/>
          <w:sz w:val="18"/>
          <w:szCs w:val="18"/>
        </w:rPr>
        <w:t>/</w:t>
      </w:r>
      <w:r>
        <w:rPr>
          <w:rFonts w:hint="eastAsia" w:ascii="方正黑体_GBK" w:hAnsi="方正黑体_GBK" w:eastAsia="方正黑体_GBK"/>
          <w:vanish w:val="0"/>
          <w:color w:val="3D3D3D"/>
          <w:kern w:val="0"/>
          <w:sz w:val="18"/>
          <w:szCs w:val="18"/>
        </w:rPr>
        <w:t>申购以金额申请，赎回以份额申请，认</w:t>
      </w:r>
      <w:r>
        <w:rPr>
          <w:rFonts w:ascii="方正黑体_GBK" w:hAnsi="方正黑体_GBK" w:eastAsia="方正黑体_GBK"/>
          <w:vanish w:val="0"/>
          <w:color w:val="3D3D3D"/>
          <w:kern w:val="0"/>
          <w:sz w:val="18"/>
          <w:szCs w:val="18"/>
        </w:rPr>
        <w:t>/</w:t>
      </w:r>
      <w:r>
        <w:rPr>
          <w:rFonts w:hint="eastAsia" w:ascii="方正黑体_GBK" w:hAnsi="方正黑体_GBK" w:eastAsia="方正黑体_GBK"/>
          <w:vanish w:val="0"/>
          <w:color w:val="3D3D3D"/>
          <w:kern w:val="0"/>
          <w:sz w:val="18"/>
          <w:szCs w:val="18"/>
        </w:rPr>
        <w:t>申购与赎回价格以</w:t>
      </w:r>
      <w:r>
        <w:rPr>
          <w:rFonts w:ascii="方正黑体_GBK" w:hAnsi="方正黑体_GBK" w:eastAsia="方正黑体_GBK"/>
          <w:vanish w:val="0"/>
          <w:color w:val="3D3D3D"/>
          <w:kern w:val="0"/>
          <w:sz w:val="18"/>
          <w:szCs w:val="18"/>
        </w:rPr>
        <w:t>“</w:t>
      </w:r>
      <w:r>
        <w:rPr>
          <w:rFonts w:hint="eastAsia" w:ascii="方正黑体_GBK" w:hAnsi="方正黑体_GBK" w:eastAsia="方正黑体_GBK"/>
          <w:vanish w:val="0"/>
          <w:color w:val="3D3D3D"/>
          <w:kern w:val="0"/>
          <w:sz w:val="18"/>
          <w:szCs w:val="18"/>
        </w:rPr>
        <w:t>未知价原则</w:t>
      </w:r>
      <w:r>
        <w:rPr>
          <w:rFonts w:ascii="方正黑体_GBK" w:hAnsi="方正黑体_GBK" w:eastAsia="方正黑体_GBK"/>
          <w:vanish w:val="0"/>
          <w:color w:val="3D3D3D"/>
          <w:kern w:val="0"/>
          <w:sz w:val="18"/>
          <w:szCs w:val="18"/>
        </w:rPr>
        <w:t>”</w:t>
      </w:r>
      <w:r>
        <w:rPr>
          <w:rFonts w:hint="eastAsia" w:ascii="方正黑体_GBK" w:hAnsi="方正黑体_GBK" w:eastAsia="方正黑体_GBK"/>
          <w:vanish w:val="0"/>
          <w:color w:val="3D3D3D"/>
          <w:kern w:val="0"/>
          <w:sz w:val="18"/>
          <w:szCs w:val="18"/>
        </w:rPr>
        <w:t>受理申请。</w:t>
      </w:r>
      <w:r>
        <w:rPr>
          <w:rFonts w:ascii="方正黑体_GBK" w:hAnsi="方正黑体_GBK" w:eastAsia="方正黑体_GBK"/>
          <w:vanish w:val="0"/>
          <w:color w:val="3D3D3D"/>
          <w:kern w:val="0"/>
          <w:sz w:val="18"/>
          <w:szCs w:val="18"/>
        </w:rPr>
        <w:t>“</w:t>
      </w:r>
      <w:r>
        <w:rPr>
          <w:rFonts w:hint="eastAsia" w:ascii="方正黑体_GBK" w:hAnsi="方正黑体_GBK" w:eastAsia="方正黑体_GBK"/>
          <w:vanish w:val="0"/>
          <w:color w:val="3D3D3D"/>
          <w:kern w:val="0"/>
          <w:sz w:val="18"/>
          <w:szCs w:val="18"/>
        </w:rPr>
        <w:t>未知价原则</w:t>
      </w:r>
      <w:r>
        <w:rPr>
          <w:rFonts w:ascii="方正黑体_GBK" w:hAnsi="方正黑体_GBK" w:eastAsia="方正黑体_GBK"/>
          <w:vanish w:val="0"/>
          <w:color w:val="3D3D3D"/>
          <w:kern w:val="0"/>
          <w:sz w:val="18"/>
          <w:szCs w:val="18"/>
        </w:rPr>
        <w:t>”</w:t>
      </w:r>
      <w:r>
        <w:rPr>
          <w:rFonts w:hint="eastAsia" w:ascii="方正黑体_GBK" w:hAnsi="方正黑体_GBK" w:eastAsia="方正黑体_GBK"/>
          <w:vanish w:val="0"/>
          <w:color w:val="3D3D3D"/>
          <w:kern w:val="0"/>
          <w:sz w:val="18"/>
          <w:szCs w:val="18"/>
        </w:rPr>
        <w:t>，即理财产品申购申请和赎回申请提交时，适用的产品单位净值都是未知的，单位净值固定的产品除外。</w:t>
      </w:r>
    </w:p>
    <w:p w14:paraId="7BB3F0B8">
      <w:pPr>
        <w:keepNext w:val="0"/>
        <w:keepLines w:val="0"/>
        <w:pageBreakBefore w:val="0"/>
        <w:widowControl/>
        <w:suppressLineNumbers w:val="0"/>
        <w:suppressAutoHyphens w:val="0"/>
        <w:spacing w:line="240" w:lineRule="auto"/>
        <w:ind w:firstLine="260"/>
        <w:rPr>
          <w:rFonts w:hint="eastAsia" w:ascii="方正黑体_GBK" w:hAnsi="方正黑体_GBK" w:eastAsia="方正黑体_GBK"/>
          <w:sz w:val="24"/>
          <w:szCs w:val="24"/>
        </w:rPr>
      </w:pPr>
      <w:r>
        <w:rPr>
          <w:rFonts w:hint="eastAsia" w:ascii="方正黑体_GBK" w:hAnsi="方正黑体_GBK" w:eastAsia="方正黑体_GBK"/>
          <w:vanish w:val="0"/>
          <w:color w:val="3D3D3D"/>
          <w:kern w:val="0"/>
          <w:sz w:val="18"/>
          <w:szCs w:val="18"/>
        </w:rPr>
        <w:t>（十八）关联交易风险：在合法合规且履行应履行的内</w:t>
      </w:r>
      <w:r>
        <w:rPr>
          <w:rFonts w:hint="eastAsia" w:ascii="方正黑体_GBK" w:hAnsi="方正黑体_GBK" w:eastAsia="方正黑体_GBK" w:cs="Times New Roman"/>
          <w:vanish w:val="0"/>
          <w:color w:val="3D3D3D"/>
          <w:kern w:val="0"/>
          <w:sz w:val="18"/>
          <w:szCs w:val="18"/>
        </w:rPr>
        <w:t>、</w:t>
      </w:r>
      <w:r>
        <w:rPr>
          <w:rFonts w:hint="eastAsia" w:ascii="方正黑体_GBK" w:hAnsi="方正黑体_GBK" w:eastAsia="方正黑体_GBK"/>
          <w:vanish w:val="0"/>
          <w:color w:val="3D3D3D"/>
          <w:kern w:val="0"/>
          <w:sz w:val="18"/>
          <w:szCs w:val="18"/>
        </w:rPr>
        <w:t>外部程序后，理财产品可能</w:t>
      </w:r>
      <w:r>
        <w:rPr>
          <w:rFonts w:hint="eastAsia" w:ascii="方正黑体_GBK" w:hAnsi="方正黑体_GBK" w:eastAsia="方正黑体_GBK" w:cs="Times New Roman"/>
          <w:vanish w:val="0"/>
          <w:color w:val="3D3D3D"/>
          <w:kern w:val="0"/>
          <w:sz w:val="18"/>
          <w:szCs w:val="18"/>
        </w:rPr>
        <w:t>投资于</w:t>
      </w:r>
      <w:r>
        <w:rPr>
          <w:rFonts w:hint="eastAsia" w:ascii="方正黑体_GBK" w:hAnsi="方正黑体_GBK" w:eastAsia="方正黑体_GBK"/>
          <w:vanish w:val="0"/>
          <w:color w:val="3D3D3D"/>
          <w:kern w:val="0"/>
          <w:sz w:val="18"/>
          <w:szCs w:val="18"/>
        </w:rPr>
        <w:t>管理人或托管机构的主要股东、实际控制人、一致行动人、最终受益人，托管机构，同一股东或托管机构控股的机构，或者与管理人或托管机构有重大利害关系的机构发行或承销的证券，或者从事其他关联交易</w:t>
      </w:r>
      <w:r>
        <w:rPr>
          <w:rFonts w:hint="eastAsia" w:ascii="方正黑体_GBK" w:hAnsi="方正黑体_GBK" w:eastAsia="方正黑体_GBK" w:cs="Times New Roman"/>
          <w:vanish w:val="0"/>
          <w:color w:val="3D3D3D"/>
          <w:kern w:val="0"/>
          <w:sz w:val="18"/>
          <w:szCs w:val="18"/>
        </w:rPr>
        <w:t>，</w:t>
      </w:r>
      <w:r>
        <w:rPr>
          <w:rFonts w:hint="eastAsia" w:ascii="方正黑体_GBK" w:hAnsi="方正黑体_GBK" w:eastAsia="方正黑体_GBK"/>
          <w:vanish w:val="0"/>
          <w:color w:val="3D3D3D"/>
          <w:kern w:val="0"/>
          <w:sz w:val="18"/>
          <w:szCs w:val="18"/>
        </w:rPr>
        <w:t>本理财产品</w:t>
      </w:r>
      <w:r>
        <w:rPr>
          <w:rFonts w:hint="eastAsia" w:ascii="方正黑体_GBK" w:hAnsi="方正黑体_GBK" w:eastAsia="方正黑体_GBK" w:cs="Times New Roman"/>
          <w:vanish w:val="0"/>
          <w:color w:val="3D3D3D"/>
          <w:kern w:val="0"/>
          <w:sz w:val="18"/>
          <w:szCs w:val="18"/>
        </w:rPr>
        <w:t>也</w:t>
      </w:r>
      <w:r>
        <w:rPr>
          <w:rFonts w:hint="eastAsia" w:ascii="方正黑体_GBK" w:hAnsi="方正黑体_GBK" w:eastAsia="方正黑体_GBK"/>
          <w:vanish w:val="0"/>
          <w:color w:val="3D3D3D"/>
          <w:kern w:val="0"/>
          <w:sz w:val="18"/>
          <w:szCs w:val="18"/>
        </w:rPr>
        <w:t>可能通过管理人的关联方进行销售。上述各方在业务执行及实施上具有隔离机制，并符合相关法律法规要求，且上述各方将依照恪尽职守、诚实信用、谨慎勤勉的原则进行业务操作，但仍可能存在利益冲突。如果发生道德风险等情形将对投资者权益产生不利影响。</w:t>
      </w:r>
    </w:p>
    <w:p w14:paraId="6DFC27F4">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3D3D3D"/>
          <w:sz w:val="18"/>
          <w:szCs w:val="18"/>
        </w:rPr>
        <w:t xml:space="preserve"> </w:t>
      </w:r>
      <w:r>
        <w:rPr>
          <w:rFonts w:hint="eastAsia" w:ascii="方正黑体_GBK" w:hAnsi="方正黑体_GBK" w:eastAsia="方正黑体_GBK"/>
          <w:vanish w:val="0"/>
          <w:color w:val="3D3D3D"/>
          <w:kern w:val="0"/>
          <w:sz w:val="18"/>
          <w:szCs w:val="18"/>
        </w:rPr>
        <w:t>第二条</w:t>
      </w:r>
      <w:r>
        <w:rPr>
          <w:rFonts w:ascii="方正黑体_GBK" w:hAnsi="方正黑体_GBK" w:eastAsia="方正黑体_GBK"/>
          <w:vanish w:val="0"/>
          <w:color w:val="3D3D3D"/>
          <w:kern w:val="0"/>
          <w:sz w:val="18"/>
          <w:szCs w:val="18"/>
        </w:rPr>
        <w:t xml:space="preserve"> </w:t>
      </w:r>
      <w:r>
        <w:rPr>
          <w:rFonts w:hint="eastAsia" w:ascii="方正黑体_GBK" w:hAnsi="方正黑体_GBK" w:eastAsia="方正黑体_GBK"/>
          <w:vanish w:val="0"/>
          <w:color w:val="3D3D3D"/>
          <w:kern w:val="0"/>
          <w:sz w:val="18"/>
          <w:szCs w:val="18"/>
        </w:rPr>
        <w:t>本理财产品特定风险揭示</w:t>
      </w:r>
    </w:p>
    <w:p w14:paraId="63FCB676">
      <w:pPr>
        <w:spacing w:line="240" w:lineRule="auto"/>
        <w:rPr>
          <w:sz w:val="28"/>
          <w:szCs w:val="28"/>
        </w:rPr>
      </w:pPr>
      <w:r>
        <w:rPr>
          <w:rFonts w:ascii="方正黑体_GBK" w:hAnsi="方正黑体_GBK" w:eastAsia="方正黑体_GBK" w:cs="宋体"/>
          <w:b/>
          <w:sz w:val="18"/>
          <w:szCs w:val="24"/>
        </w:rPr>
        <w:t xml:space="preserve">    1.债券类资产投资风险</w:t>
      </w:r>
    </w:p>
    <w:p w14:paraId="3F19F097">
      <w:pPr>
        <w:spacing w:line="240" w:lineRule="auto"/>
        <w:rPr>
          <w:sz w:val="28"/>
          <w:szCs w:val="28"/>
        </w:rPr>
      </w:pPr>
      <w:r>
        <w:rPr>
          <w:rFonts w:ascii="方正黑体_GBK" w:hAnsi="方正黑体_GBK" w:eastAsia="方正黑体_GBK" w:cs="宋体"/>
          <w:b/>
          <w:sz w:val="18"/>
          <w:szCs w:val="24"/>
        </w:rPr>
        <w:t xml:space="preserve">    利率是影响债券类资产价格的重要因素，当利率上升时，债券类资产价格将下跌；当利率下降时，债券类资产的价格将上升。本理财产品投资于债券类资产，可能面临因市场利率变化导致债券价格变化、或因债券发行人、担保人信用资质下降导致债券价格下降，或出现拒绝支付到期本息等违约行为，或因债券流通和转让较难等因素导致的投资本金及收益无法及时实现的风险。</w:t>
      </w:r>
    </w:p>
    <w:p w14:paraId="1E1B73B4">
      <w:pPr>
        <w:spacing w:line="240" w:lineRule="auto"/>
        <w:rPr>
          <w:sz w:val="28"/>
          <w:szCs w:val="28"/>
        </w:rPr>
      </w:pPr>
      <w:r>
        <w:rPr>
          <w:rFonts w:ascii="方正黑体_GBK" w:hAnsi="方正黑体_GBK" w:eastAsia="方正黑体_GBK" w:cs="宋体"/>
          <w:b/>
          <w:sz w:val="18"/>
          <w:szCs w:val="24"/>
        </w:rPr>
        <w:t xml:space="preserve">    2.非标准化债权类资产投资风险</w:t>
      </w:r>
    </w:p>
    <w:p w14:paraId="6F11FF37">
      <w:pPr>
        <w:spacing w:line="240" w:lineRule="auto"/>
        <w:rPr>
          <w:sz w:val="28"/>
          <w:szCs w:val="28"/>
        </w:rPr>
      </w:pPr>
      <w:r>
        <w:rPr>
          <w:rFonts w:ascii="方正黑体_GBK" w:hAnsi="方正黑体_GBK" w:eastAsia="方正黑体_GBK" w:cs="宋体"/>
          <w:b/>
          <w:sz w:val="18"/>
          <w:szCs w:val="24"/>
        </w:rPr>
        <w:t xml:space="preserve">    本理财产品投资于非标准化债权类资产，融资方/义务人由于还款履约能力发生变化等原因，可能无法偿还或存在逾期偿还相关融资本金利息，或无法履行相关合同约定的其他义务，或者因融资方/义务人按照相关合同的约定申请提前/立即偿还款项或者融资方/义务人发生相关合同约定的违约情形，或者由于市场、政策等不可控因素可能导致相关债权被宣布提前/立即到期，或者因发生相关合同约定的情形导致相关债权延期；或者因相关合同约定的原状分配发生后所分配的财产无法及时进行变现等原因造成无法按计划进行投资本金、收益分配，非标准化债权类资产受到包括但不限于上述因素影响时，可能影响投资者收益，甚至使产品本金遭受损失。</w:t>
      </w:r>
    </w:p>
    <w:p w14:paraId="1CE39A6E">
      <w:pPr>
        <w:spacing w:line="240" w:lineRule="auto"/>
        <w:rPr>
          <w:sz w:val="28"/>
          <w:szCs w:val="28"/>
        </w:rPr>
      </w:pPr>
      <w:r>
        <w:rPr>
          <w:rFonts w:ascii="方正黑体_GBK" w:hAnsi="方正黑体_GBK" w:eastAsia="方正黑体_GBK" w:cs="宋体"/>
          <w:b/>
          <w:sz w:val="18"/>
          <w:szCs w:val="24"/>
        </w:rPr>
        <w:t xml:space="preserve">    3.资产管理产品投资风险</w:t>
      </w:r>
    </w:p>
    <w:p w14:paraId="2363CCB3">
      <w:pPr>
        <w:spacing w:line="240" w:lineRule="auto"/>
        <w:rPr>
          <w:sz w:val="28"/>
          <w:szCs w:val="28"/>
        </w:rPr>
      </w:pPr>
      <w:r>
        <w:rPr>
          <w:rFonts w:ascii="方正黑体_GBK" w:hAnsi="方正黑体_GBK" w:eastAsia="方正黑体_GBK" w:cs="宋体"/>
          <w:b/>
          <w:sz w:val="18"/>
          <w:szCs w:val="24"/>
        </w:rPr>
        <w:t xml:space="preserve">    本理财产品通过资产管理产品间接投资时，可能因资产管理产品的相关受托人/资产管理人违反法律法规和/或合同约定、未尽受托人/资产管理人职责或发生其他情形，造成本理财产品所投资的资产管理产品的财产损失，进而导致本理财产品收益下降甚至本金损失。资管管理产品可能出现因为某种原因而被提前终止的情况，由此可能会造成对本理财产品投资收益的影响。因本理财产品的管理人无法对所投资的资产管理产品进行投资决策，或所投资资产管理产品的相关受托人/资产管理人不执行或不能及时、准确地执行本理财产品管理人的申赎等申请，或未经本理财产品同意将本理财产品交付的资金运用于违反相关资产管理合同约定的投资范围等原因，导致本理财产品所投资的资产管理产品的财产损失等风险，进而导致本理财产品收益下降甚至本金损失。</w:t>
      </w:r>
    </w:p>
    <w:p w14:paraId="7DC0C5DB">
      <w:pPr>
        <w:spacing w:line="240" w:lineRule="auto"/>
        <w:rPr>
          <w:sz w:val="28"/>
          <w:szCs w:val="28"/>
        </w:rPr>
      </w:pPr>
      <w:r>
        <w:rPr>
          <w:rFonts w:ascii="方正黑体_GBK" w:hAnsi="方正黑体_GBK" w:eastAsia="方正黑体_GBK" w:cs="宋体"/>
          <w:b/>
          <w:sz w:val="18"/>
          <w:szCs w:val="24"/>
        </w:rPr>
        <w:t xml:space="preserve">    4.非标准化债权类资产无法投资的风险</w:t>
      </w:r>
    </w:p>
    <w:p w14:paraId="5B2AEC8D">
      <w:pPr>
        <w:spacing w:line="240" w:lineRule="auto"/>
        <w:rPr>
          <w:sz w:val="28"/>
          <w:szCs w:val="28"/>
        </w:rPr>
      </w:pPr>
      <w:r>
        <w:rPr>
          <w:rFonts w:ascii="方正黑体_GBK" w:hAnsi="方正黑体_GBK" w:eastAsia="方正黑体_GBK" w:cs="宋体"/>
          <w:b/>
          <w:sz w:val="18"/>
          <w:szCs w:val="24"/>
        </w:rPr>
        <w:t xml:space="preserve">    若受到市场影响出现融资人临时变更融资要素（如取消该笔资产发行或改变资产的发行时间、资产收益等要素）导致本理财产品无法投资对应资产时，为最大程度保障投资者权益，管理人有权采取如下措施：</w:t>
      </w:r>
      <w:r>
        <w:rPr>
          <w:rFonts w:ascii="方正黑体_GBK" w:hAnsi="方正黑体_GBK" w:eastAsia="方正黑体_GBK"/>
          <w:sz w:val="28"/>
          <w:szCs w:val="28"/>
        </w:rPr>
        <w:br w:type="textWrapping"/>
      </w:r>
      <w:r>
        <w:rPr>
          <w:rFonts w:ascii="方正黑体_GBK" w:hAnsi="方正黑体_GBK" w:eastAsia="方正黑体_GBK" w:cs="宋体"/>
          <w:b/>
          <w:sz w:val="18"/>
          <w:szCs w:val="24"/>
        </w:rPr>
        <w:t xml:space="preserve">    （1）若本理财产品在募集期，则管理人有权决定本理财产品提前结束募集，产品将不成立。此时销售机构将解除对投资者授权指定账户认购资金的冻结或返还认购资金。</w:t>
      </w:r>
      <w:r>
        <w:rPr>
          <w:rFonts w:ascii="方正黑体_GBK" w:hAnsi="方正黑体_GBK" w:eastAsia="方正黑体_GBK"/>
          <w:sz w:val="28"/>
          <w:szCs w:val="28"/>
        </w:rPr>
        <w:br w:type="textWrapping"/>
      </w:r>
      <w:r>
        <w:rPr>
          <w:rFonts w:ascii="方正黑体_GBK" w:hAnsi="方正黑体_GBK" w:eastAsia="方正黑体_GBK" w:cs="宋体"/>
          <w:b/>
          <w:sz w:val="18"/>
          <w:szCs w:val="24"/>
        </w:rPr>
        <w:t xml:space="preserve">    （2）若本理财产品已成立，则管理人有权提前终止本理财产品。</w:t>
      </w:r>
    </w:p>
    <w:p w14:paraId="7A8003E8">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0" w:beforeAutospacing="0" w:after="0" w:afterAutospacing="0" w:line="240" w:lineRule="auto"/>
        <w:ind w:firstLine="260"/>
        <w:rPr>
          <w:rFonts w:ascii="方正黑体_GBK" w:hAnsi="方正黑体_GBK" w:eastAsia="方正黑体_GBK"/>
          <w:b/>
          <w:bCs/>
          <w:vanish w:val="0"/>
          <w:color w:val="3D3D3D"/>
          <w:kern w:val="0"/>
          <w:sz w:val="18"/>
          <w:szCs w:val="18"/>
        </w:rPr>
      </w:pPr>
      <w:r>
        <w:rPr>
          <w:rFonts w:hint="eastAsia" w:ascii="方正黑体_GBK" w:hAnsi="方正黑体_GBK" w:eastAsia="方正黑体_GBK" w:cs="Times New Roman"/>
          <w:b/>
          <w:bCs/>
          <w:vanish w:val="0"/>
          <w:color w:val="3D3D3D"/>
          <w:kern w:val="0"/>
          <w:sz w:val="18"/>
          <w:szCs w:val="18"/>
        </w:rPr>
        <w:t>本理财产品</w:t>
      </w:r>
      <w:r>
        <w:rPr>
          <w:rFonts w:hint="eastAsia" w:ascii="方正黑体_GBK" w:hAnsi="方正黑体_GBK" w:eastAsia="方正黑体_GBK"/>
          <w:b/>
          <w:bCs/>
          <w:color w:val="3D3D3D"/>
          <w:kern w:val="0"/>
          <w:sz w:val="18"/>
          <w:szCs w:val="18"/>
        </w:rPr>
        <w:t>类型：封闭式、固定收益类、公募、净值型。</w:t>
      </w:r>
    </w:p>
    <w:p w14:paraId="3B6A6F2A">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0" w:beforeAutospacing="0" w:after="0" w:afterAutospacing="0" w:line="240" w:lineRule="auto"/>
        <w:ind w:firstLine="270"/>
        <w:rPr>
          <w:rFonts w:ascii="方正黑体_GBK" w:hAnsi="方正黑体_GBK" w:eastAsia="方正黑体_GBK"/>
          <w:b/>
          <w:bCs/>
          <w:vanish w:val="0"/>
          <w:color w:val="3D3D3D"/>
          <w:kern w:val="0"/>
          <w:sz w:val="18"/>
          <w:szCs w:val="18"/>
        </w:rPr>
      </w:pPr>
      <w:r>
        <w:rPr>
          <w:rFonts w:hint="eastAsia" w:ascii="方正黑体_GBK" w:hAnsi="方正黑体_GBK" w:eastAsia="方正黑体_GBK" w:cs="Times New Roman"/>
          <w:b/>
          <w:bCs w:val="0"/>
          <w:vanish w:val="0"/>
          <w:color w:val="3D3D3D"/>
          <w:kern w:val="0"/>
          <w:sz w:val="18"/>
          <w:szCs w:val="18"/>
        </w:rPr>
        <w:t>本理财产品期限</w:t>
      </w:r>
      <w:r>
        <w:rPr>
          <w:rFonts w:hint="eastAsia" w:ascii="方正黑体_GBK" w:hAnsi="方正黑体_GBK" w:eastAsia="方正黑体_GBK"/>
          <w:b/>
          <w:bCs w:val="0"/>
          <w:vanish w:val="0"/>
          <w:color w:val="3D3D3D"/>
          <w:kern w:val="0"/>
          <w:sz w:val="18"/>
          <w:szCs w:val="18"/>
        </w:rPr>
        <w:t>为</w:t>
      </w:r>
      <w:r>
        <w:rPr>
          <w:rFonts w:hint="eastAsia" w:ascii="方正黑体_GBK" w:hAnsi="方正黑体_GBK" w:eastAsia="方正黑体_GBK"/>
          <w:b/>
          <w:bCs/>
          <w:color w:val="3D3D3D"/>
          <w:kern w:val="0"/>
          <w:sz w:val="18"/>
          <w:szCs w:val="18"/>
        </w:rPr>
        <w:t>99天</w:t>
      </w:r>
      <w:r>
        <w:rPr>
          <w:rFonts w:hint="eastAsia" w:ascii="方正黑体_GBK" w:hAnsi="方正黑体_GBK" w:eastAsia="方正黑体_GBK"/>
          <w:b/>
          <w:bCs w:val="0"/>
          <w:vanish w:val="0"/>
          <w:color w:val="3D3D3D"/>
          <w:kern w:val="0"/>
          <w:sz w:val="18"/>
          <w:szCs w:val="18"/>
        </w:rPr>
        <w:t>。</w:t>
      </w:r>
    </w:p>
    <w:p w14:paraId="056ABB22">
      <w:pPr>
        <w:pStyle w:val="28"/>
        <w:pBdr>
          <w:top w:val="none" w:color="auto" w:sz="0" w:space="0"/>
          <w:left w:val="none" w:color="auto" w:sz="0" w:space="0"/>
          <w:bottom w:val="none" w:color="auto" w:sz="0" w:space="0"/>
          <w:right w:val="none" w:color="auto" w:sz="0" w:space="0"/>
        </w:pBdr>
        <w:spacing w:before="0" w:beforeAutospacing="0" w:after="0" w:afterAutospacing="0" w:line="240" w:lineRule="auto"/>
        <w:rPr>
          <w:rFonts w:ascii="方正黑体_GBK" w:hAnsi="方正黑体_GBK" w:eastAsia="方正黑体_GBK"/>
          <w:vanish w:val="0"/>
          <w:color w:val="3D3D3D"/>
          <w:kern w:val="0"/>
          <w:sz w:val="18"/>
          <w:szCs w:val="18"/>
        </w:rPr>
      </w:pPr>
      <w:r>
        <w:rPr>
          <w:rFonts w:hint="eastAsia" w:ascii="方正黑体_GBK" w:hAnsi="方正黑体_GBK" w:eastAsia="方正黑体_GBK"/>
          <w:b/>
          <w:bCs/>
          <w:vanish w:val="0"/>
          <w:color w:val="3D3D3D"/>
          <w:kern w:val="0"/>
          <w:sz w:val="18"/>
          <w:szCs w:val="18"/>
        </w:rPr>
        <w:t>本理财产品风险</w:t>
      </w:r>
      <w:r>
        <w:rPr>
          <w:rFonts w:hint="eastAsia" w:ascii="方正黑体_GBK" w:hAnsi="方正黑体_GBK" w:eastAsia="方正黑体_GBK" w:cs="Times New Roman"/>
          <w:b/>
          <w:bCs/>
          <w:vanish w:val="0"/>
          <w:color w:val="3D3D3D"/>
          <w:kern w:val="0"/>
          <w:sz w:val="18"/>
          <w:szCs w:val="18"/>
        </w:rPr>
        <w:t>评级结果</w:t>
      </w:r>
      <w:r>
        <w:rPr>
          <w:rFonts w:hint="eastAsia" w:ascii="方正黑体_GBK" w:hAnsi="方正黑体_GBK" w:eastAsia="方正黑体_GBK"/>
          <w:b/>
          <w:bCs/>
          <w:vanish w:val="0"/>
          <w:color w:val="3D3D3D"/>
          <w:kern w:val="0"/>
          <w:sz w:val="18"/>
          <w:szCs w:val="18"/>
        </w:rPr>
        <w:t>：</w:t>
      </w:r>
      <w:r>
        <w:rPr>
          <w:rFonts w:hint="eastAsia" w:ascii="方正黑体_GBK" w:hAnsi="方正黑体_GBK" w:eastAsia="方正黑体_GBK"/>
          <w:vanish w:val="0"/>
          <w:color w:val="3D3D3D"/>
          <w:kern w:val="0"/>
          <w:sz w:val="18"/>
          <w:szCs w:val="18"/>
        </w:rPr>
        <w:t>根据管理人内部风险评级，该产品风险等级为</w:t>
      </w:r>
      <w:r>
        <w:rPr>
          <w:rFonts w:hint="eastAsia" w:ascii="方正黑体_GBK" w:hAnsi="方正黑体_GBK" w:eastAsia="方正黑体_GBK" w:cs="Times New Roman"/>
          <w:b/>
          <w:bCs w:val="0"/>
          <w:vanish w:val="0"/>
          <w:color w:val="3D3D3D"/>
          <w:kern w:val="0"/>
          <w:sz w:val="18"/>
          <w:szCs w:val="18"/>
        </w:rPr>
        <w:t>中低风险</w:t>
      </w:r>
      <w:r>
        <w:rPr>
          <w:rFonts w:hint="eastAsia" w:ascii="方正黑体_GBK" w:hAnsi="方正黑体_GBK" w:eastAsia="方正黑体_GBK"/>
          <w:vanish w:val="0"/>
          <w:color w:val="3D3D3D"/>
          <w:kern w:val="0"/>
          <w:sz w:val="18"/>
          <w:szCs w:val="18"/>
        </w:rPr>
        <w:t>。</w:t>
      </w:r>
      <w:r>
        <w:rPr>
          <w:rFonts w:hint="eastAsia" w:ascii="方正黑体_GBK" w:hAnsi="方正黑体_GBK" w:eastAsia="方正黑体_GBK" w:cs="Times New Roman"/>
          <w:b/>
          <w:bCs w:val="0"/>
          <w:vanish w:val="0"/>
          <w:color w:val="3D3D3D"/>
          <w:kern w:val="0"/>
          <w:sz w:val="18"/>
          <w:szCs w:val="18"/>
        </w:rPr>
        <w:t xml:space="preserve"> </w:t>
      </w:r>
      <w:r>
        <w:rPr>
          <w:rFonts w:hint="eastAsia" w:ascii="方正黑体_GBK" w:hAnsi="方正黑体_GBK" w:eastAsia="方正黑体_GBK"/>
          <w:color w:val="3D3D3D"/>
          <w:kern w:val="0"/>
          <w:sz w:val="18"/>
          <w:szCs w:val="18"/>
        </w:rPr>
        <w:t>管理人不承诺本金保障，产品收益随投资表现变动，产品存在较低的本金损失风险</w:t>
      </w:r>
      <w:r>
        <w:rPr>
          <w:rFonts w:hint="eastAsia" w:ascii="方正黑体_GBK" w:hAnsi="方正黑体_GBK" w:eastAsia="方正黑体_GBK"/>
          <w:vanish w:val="0"/>
          <w:color w:val="3D3D3D"/>
          <w:kern w:val="0"/>
          <w:sz w:val="18"/>
          <w:szCs w:val="18"/>
        </w:rPr>
        <w:t>。</w:t>
      </w:r>
    </w:p>
    <w:p w14:paraId="6381C02F">
      <w:pPr>
        <w:pStyle w:val="28"/>
        <w:pBdr>
          <w:top w:val="none" w:color="auto" w:sz="0" w:space="0"/>
          <w:left w:val="none" w:color="auto" w:sz="0" w:space="0"/>
          <w:bottom w:val="none" w:color="auto" w:sz="0" w:space="0"/>
          <w:right w:val="none" w:color="auto" w:sz="0" w:space="0"/>
        </w:pBdr>
        <w:spacing w:before="0" w:beforeAutospacing="0" w:after="0" w:afterAutospacing="0" w:line="240" w:lineRule="auto"/>
        <w:ind w:firstLine="360" w:firstLineChars="200"/>
        <w:rPr>
          <w:rFonts w:ascii="方正黑体_GBK" w:hAnsi="方正黑体_GBK" w:eastAsia="方正黑体_GBK"/>
          <w:vanish w:val="0"/>
          <w:color w:val="3D3D3D"/>
          <w:kern w:val="0"/>
          <w:sz w:val="18"/>
          <w:szCs w:val="18"/>
        </w:rPr>
      </w:pPr>
      <w:r>
        <w:rPr>
          <w:rFonts w:hint="eastAsia" w:ascii="方正黑体_GBK" w:hAnsi="方正黑体_GBK" w:eastAsia="方正黑体_GBK"/>
          <w:b/>
          <w:bCs/>
          <w:vanish w:val="0"/>
          <w:color w:val="3D3D3D"/>
          <w:kern w:val="0"/>
          <w:sz w:val="18"/>
          <w:szCs w:val="18"/>
        </w:rPr>
        <w:t>本风险等级为南银理财风险评级结果，</w:t>
      </w:r>
      <w:r>
        <w:rPr>
          <w:rFonts w:hint="eastAsia" w:ascii="方正黑体_GBK" w:hAnsi="方正黑体_GBK" w:eastAsia="方正黑体_GBK" w:cs="Times New Roman"/>
          <w:b/>
          <w:bCs/>
          <w:vanish w:val="0"/>
          <w:color w:val="3D3D3D"/>
          <w:kern w:val="0"/>
          <w:sz w:val="18"/>
          <w:szCs w:val="18"/>
        </w:rPr>
        <w:t>该产品通过代理销售机构渠道销售的，理财产品评级应当以代理销售机构最终披露的评级结果为准。</w:t>
      </w:r>
      <w:r>
        <w:rPr>
          <w:rFonts w:hint="eastAsia" w:ascii="方正黑体_GBK" w:hAnsi="方正黑体_GBK" w:eastAsia="方正黑体_GBK" w:cs="Times New Roman"/>
          <w:vanish w:val="0"/>
          <w:color w:val="3D3D3D"/>
          <w:kern w:val="0"/>
          <w:sz w:val="18"/>
          <w:szCs w:val="18"/>
        </w:rPr>
        <w:t>您需充分认识投资风险，谨慎投资。</w:t>
      </w:r>
    </w:p>
    <w:p w14:paraId="19EC66D9">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0" w:beforeAutospacing="0" w:after="0" w:afterAutospacing="0" w:line="240" w:lineRule="auto"/>
        <w:ind w:firstLine="360" w:firstLineChars="200"/>
        <w:rPr>
          <w:rFonts w:hint="eastAsia" w:ascii="方正黑体_GBK" w:hAnsi="方正黑体_GBK" w:eastAsia="方正黑体_GBK"/>
          <w:bCs/>
          <w:color w:val="3D3D3D"/>
          <w:kern w:val="0"/>
          <w:sz w:val="18"/>
          <w:szCs w:val="18"/>
        </w:rPr>
      </w:pPr>
      <w:r>
        <w:rPr>
          <w:rFonts w:hint="eastAsia" w:ascii="方正黑体_GBK" w:hAnsi="方正黑体_GBK" w:eastAsia="方正黑体_GBK" w:cs="Times New Roman"/>
          <w:b/>
          <w:bCs/>
          <w:vanish w:val="0"/>
          <w:color w:val="3D3D3D"/>
          <w:kern w:val="0"/>
          <w:sz w:val="18"/>
          <w:szCs w:val="18"/>
        </w:rPr>
        <w:t>适合购买本理财产品的投资者</w:t>
      </w:r>
      <w:r>
        <w:rPr>
          <w:rFonts w:hint="eastAsia" w:ascii="方正黑体_GBK" w:hAnsi="方正黑体_GBK" w:eastAsia="方正黑体_GBK"/>
          <w:b/>
          <w:bCs/>
          <w:vanish w:val="0"/>
          <w:color w:val="3D3D3D"/>
          <w:kern w:val="0"/>
          <w:sz w:val="18"/>
          <w:szCs w:val="18"/>
        </w:rPr>
        <w:t>：</w:t>
      </w:r>
      <w:r>
        <w:rPr>
          <w:rFonts w:hint="eastAsia" w:ascii="方正黑体_GBK" w:hAnsi="方正黑体_GBK" w:eastAsia="方正黑体_GBK"/>
          <w:color w:val="3D3D3D"/>
          <w:kern w:val="0"/>
          <w:sz w:val="18"/>
          <w:szCs w:val="18"/>
        </w:rPr>
        <w:t>符合相关法律法规、监管规定要求的，经销售机构的风险承受能力评估体系评定为适合的个人和机构投资者。</w:t>
      </w:r>
    </w:p>
    <w:p w14:paraId="1F777FE4">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0" w:beforeAutospacing="0" w:after="0" w:afterAutospacing="0" w:line="240" w:lineRule="auto"/>
        <w:ind w:firstLine="260"/>
        <w:rPr>
          <w:rFonts w:ascii="方正黑体_GBK" w:hAnsi="方正黑体_GBK" w:eastAsia="方正黑体_GBK"/>
          <w:b/>
          <w:bCs/>
          <w:vanish w:val="0"/>
          <w:color w:val="3D3D3D"/>
          <w:kern w:val="0"/>
          <w:sz w:val="18"/>
          <w:szCs w:val="18"/>
        </w:rPr>
      </w:pPr>
      <w:r>
        <w:rPr>
          <w:rFonts w:hint="eastAsia" w:ascii="方正黑体_GBK" w:hAnsi="方正黑体_GBK" w:eastAsia="方正黑体_GBK" w:cs="Times New Roman"/>
          <w:b/>
          <w:bCs/>
          <w:vanish w:val="0"/>
          <w:color w:val="3D3D3D"/>
          <w:kern w:val="0"/>
          <w:sz w:val="18"/>
          <w:szCs w:val="18"/>
        </w:rPr>
        <w:t>个人投资者在首次通过销售机构购买理财产品时应根据销售机构的要求进行风险承受能力评估</w:t>
      </w:r>
      <w:r>
        <w:rPr>
          <w:rFonts w:hint="eastAsia" w:ascii="方正黑体_GBK" w:hAnsi="方正黑体_GBK" w:eastAsia="方正黑体_GBK"/>
          <w:b/>
          <w:bCs/>
          <w:vanish w:val="0"/>
          <w:color w:val="3D3D3D"/>
          <w:kern w:val="0"/>
          <w:sz w:val="18"/>
          <w:szCs w:val="18"/>
        </w:rPr>
        <w:t>。如影响您风险承受能力的因素发生变化，</w:t>
      </w:r>
      <w:r>
        <w:rPr>
          <w:rFonts w:hint="eastAsia" w:ascii="方正黑体_GBK" w:hAnsi="方正黑体_GBK" w:eastAsia="方正黑体_GBK" w:cs="Times New Roman"/>
          <w:b/>
          <w:bCs/>
          <w:vanish w:val="0"/>
          <w:color w:val="3D3D3D"/>
          <w:kern w:val="0"/>
          <w:sz w:val="18"/>
          <w:szCs w:val="18"/>
        </w:rPr>
        <w:t>请及时完成风险承受能力评估</w:t>
      </w:r>
      <w:r>
        <w:rPr>
          <w:rFonts w:hint="eastAsia" w:ascii="方正黑体_GBK" w:hAnsi="方正黑体_GBK" w:eastAsia="方正黑体_GBK"/>
          <w:b/>
          <w:bCs/>
          <w:vanish w:val="0"/>
          <w:color w:val="3D3D3D"/>
          <w:kern w:val="0"/>
          <w:sz w:val="18"/>
          <w:szCs w:val="18"/>
        </w:rPr>
        <w:t>。</w:t>
      </w:r>
    </w:p>
    <w:p w14:paraId="004F89B1">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0" w:beforeAutospacing="0" w:after="0" w:afterAutospacing="0" w:line="240" w:lineRule="auto"/>
        <w:ind w:firstLine="260"/>
        <w:rPr>
          <w:rFonts w:ascii="方正黑体_GBK" w:hAnsi="方正黑体_GBK" w:eastAsia="方正黑体_GBK" w:cs="Times New Roman"/>
          <w:vanish w:val="0"/>
          <w:kern w:val="2"/>
          <w:sz w:val="28"/>
          <w:szCs w:val="28"/>
        </w:rPr>
      </w:pPr>
      <w:r>
        <w:rPr>
          <w:rFonts w:hint="eastAsia" w:ascii="方正黑体_GBK" w:hAnsi="方正黑体_GBK" w:eastAsia="方正黑体_GBK" w:cs="Times New Roman"/>
          <w:b/>
          <w:bCs/>
          <w:vanish w:val="0"/>
          <w:color w:val="3D3D3D"/>
          <w:kern w:val="0"/>
          <w:sz w:val="18"/>
          <w:szCs w:val="18"/>
        </w:rPr>
        <w:t>最不利投资情形下的投资结果</w:t>
      </w:r>
      <w:r>
        <w:rPr>
          <w:rFonts w:hint="eastAsia" w:ascii="方正黑体_GBK" w:hAnsi="方正黑体_GBK" w:eastAsia="方正黑体_GBK"/>
          <w:b/>
          <w:bCs/>
          <w:vanish w:val="0"/>
          <w:color w:val="3D3D3D"/>
          <w:kern w:val="0"/>
          <w:sz w:val="18"/>
          <w:szCs w:val="18"/>
        </w:rPr>
        <w:t>：若投资者认购或申购本理财产品，最不利情况下，投资组合内所有资产均发生以上所述的风险事件，且投资组合内所有资产均发生全额损失，则投资者赎回或到期收到款项为</w:t>
      </w:r>
      <w:r>
        <w:rPr>
          <w:rFonts w:ascii="方正黑体_GBK" w:hAnsi="方正黑体_GBK" w:eastAsia="方正黑体_GBK"/>
          <w:b/>
          <w:bCs/>
          <w:vanish w:val="0"/>
          <w:color w:val="3D3D3D"/>
          <w:kern w:val="0"/>
          <w:sz w:val="18"/>
          <w:szCs w:val="18"/>
        </w:rPr>
        <w:t>0</w:t>
      </w:r>
      <w:r>
        <w:rPr>
          <w:rFonts w:hint="eastAsia" w:ascii="方正黑体_GBK" w:hAnsi="方正黑体_GBK" w:eastAsia="方正黑体_GBK"/>
          <w:b/>
          <w:bCs/>
          <w:vanish w:val="0"/>
          <w:color w:val="3D3D3D"/>
          <w:kern w:val="0"/>
          <w:sz w:val="18"/>
          <w:szCs w:val="18"/>
        </w:rPr>
        <w:t>，即投资者面临全部本金的损失。为保证当期理财投资者权益而产生的费用由当期理财产品承担。</w:t>
      </w:r>
    </w:p>
    <w:p w14:paraId="21FF46AD">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0" w:beforeAutospacing="0" w:after="0" w:afterAutospacing="0" w:line="240" w:lineRule="auto"/>
        <w:ind w:firstLine="260"/>
        <w:rPr>
          <w:rFonts w:ascii="方正黑体_GBK" w:hAnsi="方正黑体_GBK" w:eastAsia="方正黑体_GBK"/>
          <w:b/>
          <w:bCs/>
          <w:vanish w:val="0"/>
          <w:color w:val="3D3D3D"/>
          <w:kern w:val="0"/>
          <w:sz w:val="18"/>
          <w:szCs w:val="18"/>
        </w:rPr>
      </w:pPr>
      <w:r>
        <w:rPr>
          <w:rFonts w:hint="eastAsia" w:ascii="方正黑体_GBK" w:hAnsi="方正黑体_GBK" w:eastAsia="方正黑体_GBK"/>
          <w:b/>
          <w:bCs/>
          <w:vanish w:val="0"/>
          <w:color w:val="3D3D3D"/>
          <w:kern w:val="0"/>
          <w:sz w:val="18"/>
          <w:szCs w:val="18"/>
        </w:rPr>
        <w:t>示例：如投资者购买本理财产品，本金为</w:t>
      </w:r>
      <w:r>
        <w:rPr>
          <w:rFonts w:ascii="方正黑体_GBK" w:hAnsi="方正黑体_GBK" w:eastAsia="方正黑体_GBK"/>
          <w:b/>
          <w:bCs/>
          <w:vanish w:val="0"/>
          <w:color w:val="3D3D3D"/>
          <w:kern w:val="0"/>
          <w:sz w:val="18"/>
          <w:szCs w:val="18"/>
        </w:rPr>
        <w:t>1</w:t>
      </w:r>
      <w:r>
        <w:rPr>
          <w:rFonts w:hint="eastAsia" w:ascii="方正黑体_GBK" w:hAnsi="方正黑体_GBK" w:eastAsia="方正黑体_GBK"/>
          <w:b/>
          <w:bCs/>
          <w:vanish w:val="0"/>
          <w:color w:val="3D3D3D"/>
          <w:kern w:val="0"/>
          <w:sz w:val="18"/>
          <w:szCs w:val="18"/>
        </w:rPr>
        <w:t>万元，在理财产品资产组合项下资产全部亏损的最不利情况下，理财产品</w:t>
      </w:r>
      <w:r>
        <w:rPr>
          <w:rFonts w:ascii="方正黑体_GBK" w:hAnsi="方正黑体_GBK" w:eastAsia="方正黑体_GBK"/>
          <w:b/>
          <w:bCs/>
          <w:vanish w:val="0"/>
          <w:color w:val="3D3D3D"/>
          <w:kern w:val="0"/>
          <w:sz w:val="18"/>
          <w:szCs w:val="18"/>
        </w:rPr>
        <w:t>1</w:t>
      </w:r>
      <w:r>
        <w:rPr>
          <w:rFonts w:hint="eastAsia" w:ascii="方正黑体_GBK" w:hAnsi="方正黑体_GBK" w:eastAsia="方正黑体_GBK"/>
          <w:b/>
          <w:bCs/>
          <w:vanish w:val="0"/>
          <w:color w:val="3D3D3D"/>
          <w:kern w:val="0"/>
          <w:sz w:val="18"/>
          <w:szCs w:val="18"/>
        </w:rPr>
        <w:t>万元本金将全部损失。</w:t>
      </w:r>
    </w:p>
    <w:p w14:paraId="45386AB8">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rPr>
          <w:rFonts w:hint="eastAsia" w:ascii="方正黑体_GBK" w:hAnsi="方正黑体_GBK" w:eastAsia="方正黑体_GBK" w:cs="Times New Roman"/>
          <w:b/>
          <w:bCs w:val="0"/>
          <w:vanish w:val="0"/>
          <w:color w:val="3D3D3D"/>
          <w:kern w:val="0"/>
          <w:sz w:val="18"/>
          <w:szCs w:val="18"/>
        </w:rPr>
      </w:pPr>
    </w:p>
    <w:p w14:paraId="3816702F">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jc w:val="center"/>
        <w:rPr>
          <w:rFonts w:ascii="方正黑体_GBK" w:hAnsi="方正黑体_GBK" w:eastAsia="方正黑体_GBK"/>
          <w:b/>
          <w:bCs w:val="0"/>
          <w:vanish w:val="0"/>
          <w:color w:val="3D3D3D"/>
          <w:kern w:val="0"/>
          <w:sz w:val="20"/>
          <w:szCs w:val="20"/>
          <w:u w:val="single"/>
        </w:rPr>
      </w:pPr>
      <w:r>
        <w:rPr>
          <w:rFonts w:hint="eastAsia" w:ascii="方正黑体_GBK" w:hAnsi="方正黑体_GBK" w:eastAsia="方正黑体_GBK"/>
          <w:b/>
          <w:bCs w:val="0"/>
          <w:vanish w:val="0"/>
          <w:color w:val="3D3D3D"/>
          <w:kern w:val="0"/>
          <w:sz w:val="20"/>
          <w:szCs w:val="20"/>
          <w:u w:val="single"/>
        </w:rPr>
        <w:t>上述风险客观存在，敬请投资者予以充分关注！</w:t>
      </w:r>
    </w:p>
    <w:p w14:paraId="0A98596B">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60"/>
        <w:jc w:val="center"/>
        <w:rPr>
          <w:rFonts w:ascii="方正黑体_GBK" w:hAnsi="方正黑体_GBK" w:eastAsia="方正黑体_GBK"/>
          <w:b/>
          <w:bCs w:val="0"/>
          <w:vanish w:val="0"/>
          <w:color w:val="3D3D3D"/>
          <w:kern w:val="0"/>
          <w:sz w:val="20"/>
          <w:szCs w:val="20"/>
          <w:u w:val="single"/>
        </w:rPr>
      </w:pPr>
    </w:p>
    <w:p w14:paraId="655B72AB">
      <w:pPr>
        <w:pStyle w:val="15"/>
        <w:keepNext w:val="0"/>
        <w:keepLines w:val="0"/>
        <w:pageBreakBefore w:val="0"/>
        <w:widowControl/>
        <w:suppressLineNumbers w:val="0"/>
        <w:suppressAutoHyphens w:val="0"/>
        <w:spacing w:line="240" w:lineRule="auto"/>
        <w:ind w:firstLine="260"/>
        <w:jc w:val="left"/>
        <w:rPr>
          <w:rFonts w:hint="eastAsia" w:ascii="方正黑体_GBK" w:hAnsi="方正黑体_GBK" w:eastAsia="方正黑体_GBK"/>
          <w:b/>
          <w:color w:val="3D3D3D"/>
          <w:kern w:val="0"/>
          <w:sz w:val="20"/>
          <w:szCs w:val="20"/>
          <w:u w:val="single"/>
        </w:rPr>
      </w:pPr>
      <w:r>
        <w:rPr>
          <w:rFonts w:hint="eastAsia" w:ascii="方正黑体_GBK" w:hAnsi="方正黑体_GBK" w:eastAsia="方正黑体_GBK" w:cs="Times New Roman"/>
          <w:b/>
          <w:bCs w:val="0"/>
          <w:vanish w:val="0"/>
          <w:color w:val="3D3D3D"/>
          <w:kern w:val="0"/>
          <w:sz w:val="20"/>
          <w:szCs w:val="20"/>
          <w:u w:val="single"/>
        </w:rPr>
        <w:t>本风险揭示书的揭示事项仅为列举性质，未能详尽列明投资者购买本理财产品所面临的全部风险和可能导致投资者资产损失的所有因素。投资者在购买本理财产品前，应认真阅读并理解</w:t>
      </w:r>
      <w:r>
        <w:rPr>
          <w:rFonts w:hint="eastAsia" w:ascii="方正黑体_GBK" w:hAnsi="方正黑体_GBK" w:eastAsia="方正黑体_GBK"/>
          <w:b/>
          <w:bCs w:val="0"/>
          <w:vanish w:val="0"/>
          <w:color w:val="3D3D3D"/>
          <w:kern w:val="0"/>
          <w:sz w:val="20"/>
          <w:szCs w:val="20"/>
          <w:u w:val="single"/>
        </w:rPr>
        <w:t>本风险揭示书</w:t>
      </w:r>
      <w:r>
        <w:rPr>
          <w:rFonts w:hint="eastAsia" w:ascii="方正黑体_GBK" w:hAnsi="方正黑体_GBK" w:eastAsia="方正黑体_GBK" w:cs="Times New Roman"/>
          <w:b/>
          <w:bCs w:val="0"/>
          <w:vanish w:val="0"/>
          <w:color w:val="3D3D3D"/>
          <w:kern w:val="0"/>
          <w:sz w:val="20"/>
          <w:szCs w:val="20"/>
          <w:u w:val="single"/>
        </w:rPr>
        <w:t>及本理财产品《理财产品说明书》《理财产品销售协议书》《投资者权益须知》《理财产品投资协议书》等理财产品销售文件等相关销售文件的全部内容，并确信自身已做好足够的风险评估与财务安排，避免因购买本理财产品而遭受难以承受的损失。</w:t>
      </w:r>
    </w:p>
    <w:p w14:paraId="6C0CB916">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rPr>
          <w:rFonts w:ascii="方正黑体_GBK" w:hAnsi="方正黑体_GBK" w:eastAsia="方正黑体_GBK"/>
          <w:b/>
          <w:bCs w:val="0"/>
          <w:vanish w:val="0"/>
          <w:color w:val="3D3D3D"/>
          <w:kern w:val="0"/>
          <w:sz w:val="20"/>
          <w:szCs w:val="20"/>
          <w:u w:val="single"/>
        </w:rPr>
      </w:pPr>
      <w:r>
        <w:rPr>
          <w:rFonts w:hint="eastAsia" w:ascii="方正黑体_GBK" w:hAnsi="方正黑体_GBK" w:eastAsia="方正黑体_GBK"/>
          <w:b/>
          <w:bCs w:val="0"/>
          <w:vanish w:val="0"/>
          <w:color w:val="3D3D3D"/>
          <w:kern w:val="0"/>
          <w:sz w:val="20"/>
          <w:szCs w:val="20"/>
          <w:u w:val="single"/>
        </w:rPr>
        <w:t>投资者声明：</w:t>
      </w:r>
    </w:p>
    <w:p w14:paraId="03EB116D">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20"/>
        <w:rPr>
          <w:rFonts w:hint="eastAsia" w:ascii="方正黑体_GBK" w:hAnsi="方正黑体_GBK" w:eastAsia="方正黑体_GBK" w:cs="Times New Roman"/>
          <w:b/>
          <w:bCs w:val="0"/>
          <w:vanish w:val="0"/>
          <w:color w:val="3D3D3D"/>
          <w:kern w:val="0"/>
          <w:sz w:val="20"/>
          <w:szCs w:val="20"/>
          <w:u w:val="single"/>
        </w:rPr>
      </w:pPr>
      <w:r>
        <w:rPr>
          <w:rFonts w:hint="eastAsia" w:ascii="方正黑体_GBK" w:hAnsi="方正黑体_GBK" w:eastAsia="方正黑体_GBK" w:cs="Times New Roman"/>
          <w:b/>
          <w:bCs w:val="0"/>
          <w:vanish w:val="0"/>
          <w:color w:val="3D3D3D"/>
          <w:kern w:val="0"/>
          <w:sz w:val="20"/>
          <w:szCs w:val="20"/>
        </w:rPr>
        <w:t>1.</w:t>
      </w:r>
      <w:r>
        <w:rPr>
          <w:rFonts w:hint="eastAsia" w:ascii="方正黑体_GBK" w:hAnsi="方正黑体_GBK" w:eastAsia="方正黑体_GBK" w:cs="Times New Roman"/>
          <w:b/>
          <w:bCs w:val="0"/>
          <w:vanish w:val="0"/>
          <w:color w:val="3D3D3D"/>
          <w:kern w:val="0"/>
          <w:sz w:val="20"/>
          <w:szCs w:val="20"/>
          <w:u w:val="single"/>
        </w:rPr>
        <w:t>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确认，本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购买本理财产品为本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真实的意思表示</w:t>
      </w:r>
      <w:r>
        <w:rPr>
          <w:rFonts w:ascii="方正黑体_GBK" w:hAnsi="方正黑体_GBK" w:eastAsia="方正黑体_GBK" w:cs="Times New Roman"/>
          <w:b/>
          <w:bCs w:val="0"/>
          <w:vanish w:val="0"/>
          <w:color w:val="3D3D3D"/>
          <w:kern w:val="0"/>
          <w:sz w:val="20"/>
          <w:szCs w:val="20"/>
          <w:u w:val="single"/>
        </w:rPr>
        <w:t>,</w:t>
      </w:r>
      <w:r>
        <w:rPr>
          <w:rFonts w:hint="eastAsia" w:ascii="方正黑体_GBK" w:hAnsi="方正黑体_GBK" w:eastAsia="方正黑体_GBK" w:cs="Times New Roman"/>
          <w:b/>
          <w:bCs w:val="0"/>
          <w:vanish w:val="0"/>
          <w:color w:val="3D3D3D"/>
          <w:kern w:val="0"/>
          <w:sz w:val="20"/>
          <w:szCs w:val="20"/>
          <w:u w:val="single"/>
        </w:rPr>
        <w:t>并认为该理财产品完全适合本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的投资目标、投资预期以及风险承受能力，本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自愿承担由此带来的一切后果。本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确认南银理财</w:t>
      </w:r>
      <w:r>
        <w:rPr>
          <w:rFonts w:ascii="方正黑体_GBK" w:hAnsi="方正黑体_GBK" w:eastAsia="方正黑体_GBK" w:cs="Times New Roman"/>
          <w:b/>
          <w:bCs w:val="0"/>
          <w:vanish w:val="0"/>
          <w:color w:val="3D3D3D"/>
          <w:kern w:val="0"/>
          <w:sz w:val="20"/>
          <w:szCs w:val="20"/>
          <w:u w:val="single"/>
        </w:rPr>
        <w:t>/</w:t>
      </w:r>
      <w:r>
        <w:rPr>
          <w:rFonts w:hint="eastAsia" w:ascii="方正黑体_GBK" w:hAnsi="方正黑体_GBK" w:eastAsia="方正黑体_GBK" w:cs="Times New Roman"/>
          <w:b/>
          <w:bCs w:val="0"/>
          <w:vanish w:val="0"/>
          <w:color w:val="3D3D3D"/>
          <w:kern w:val="0"/>
          <w:sz w:val="20"/>
          <w:szCs w:val="20"/>
          <w:u w:val="single"/>
        </w:rPr>
        <w:t>销售机构相关业务人员对于理财产品销售文件中限制或排除本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权利、增加或加重本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义务或责任以及有关免除或减轻南银理财责任或南银理财单方面拥有某些权利的条款已向本人予以说明，本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已完全理解并自愿接受。</w:t>
      </w:r>
    </w:p>
    <w:p w14:paraId="6678173A">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20"/>
        <w:rPr>
          <w:rFonts w:hint="eastAsia" w:ascii="方正黑体_GBK" w:hAnsi="方正黑体_GBK" w:eastAsia="方正黑体_GBK" w:cs="Times New Roman"/>
          <w:b/>
          <w:bCs w:val="0"/>
          <w:vanish w:val="0"/>
          <w:color w:val="3D3D3D"/>
          <w:kern w:val="0"/>
          <w:sz w:val="20"/>
          <w:szCs w:val="20"/>
          <w:u w:val="single"/>
        </w:rPr>
      </w:pPr>
      <w:r>
        <w:rPr>
          <w:rFonts w:hint="eastAsia" w:ascii="方正黑体_GBK" w:hAnsi="方正黑体_GBK" w:eastAsia="方正黑体_GBK" w:cs="Times New Roman"/>
          <w:b/>
          <w:bCs w:val="0"/>
          <w:vanish w:val="0"/>
          <w:color w:val="3D3D3D"/>
          <w:kern w:val="0"/>
          <w:sz w:val="20"/>
          <w:szCs w:val="20"/>
        </w:rPr>
        <w:t>2.</w:t>
      </w:r>
      <w:r>
        <w:rPr>
          <w:rFonts w:hint="eastAsia" w:ascii="方正黑体_GBK" w:hAnsi="方正黑体_GBK" w:eastAsia="方正黑体_GBK" w:cs="Times New Roman"/>
          <w:b/>
          <w:bCs w:val="0"/>
          <w:vanish w:val="0"/>
          <w:color w:val="3D3D3D"/>
          <w:kern w:val="0"/>
          <w:sz w:val="20"/>
          <w:szCs w:val="20"/>
          <w:u w:val="single"/>
        </w:rPr>
        <w:t>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确认，将向本理财产品销售机构真实提供信息，自主作出认购</w:t>
      </w:r>
      <w:r>
        <w:rPr>
          <w:rFonts w:ascii="方正黑体_GBK" w:hAnsi="方正黑体_GBK" w:eastAsia="方正黑体_GBK" w:cs="Times New Roman"/>
          <w:b/>
          <w:bCs w:val="0"/>
          <w:vanish w:val="0"/>
          <w:color w:val="3D3D3D"/>
          <w:kern w:val="0"/>
          <w:sz w:val="20"/>
          <w:szCs w:val="20"/>
          <w:u w:val="single"/>
        </w:rPr>
        <w:t>/</w:t>
      </w:r>
      <w:r>
        <w:rPr>
          <w:rFonts w:hint="eastAsia" w:ascii="方正黑体_GBK" w:hAnsi="方正黑体_GBK" w:eastAsia="方正黑体_GBK" w:cs="Times New Roman"/>
          <w:b/>
          <w:bCs w:val="0"/>
          <w:vanish w:val="0"/>
          <w:color w:val="3D3D3D"/>
          <w:kern w:val="0"/>
          <w:sz w:val="20"/>
          <w:szCs w:val="20"/>
          <w:u w:val="single"/>
        </w:rPr>
        <w:t>申购</w:t>
      </w:r>
      <w:r>
        <w:rPr>
          <w:rFonts w:ascii="方正黑体_GBK" w:hAnsi="方正黑体_GBK" w:eastAsia="方正黑体_GBK" w:cs="Times New Roman"/>
          <w:b/>
          <w:bCs w:val="0"/>
          <w:vanish w:val="0"/>
          <w:color w:val="3D3D3D"/>
          <w:kern w:val="0"/>
          <w:sz w:val="20"/>
          <w:szCs w:val="20"/>
          <w:u w:val="single"/>
        </w:rPr>
        <w:t>/</w:t>
      </w:r>
      <w:r>
        <w:rPr>
          <w:rFonts w:hint="eastAsia" w:ascii="方正黑体_GBK" w:hAnsi="方正黑体_GBK" w:eastAsia="方正黑体_GBK" w:cs="Times New Roman"/>
          <w:b/>
          <w:bCs w:val="0"/>
          <w:vanish w:val="0"/>
          <w:color w:val="3D3D3D"/>
          <w:kern w:val="0"/>
          <w:sz w:val="20"/>
          <w:szCs w:val="20"/>
          <w:u w:val="single"/>
        </w:rPr>
        <w:t>赎回等决定，自主承担投资风险。本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拒绝向销售机构提供或者未按照要求提供信息的，销售机构有权告知本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相应的后果和责任，并有权拒绝向本</w:t>
      </w:r>
      <w:r>
        <w:rPr>
          <w:rFonts w:hint="eastAsia" w:ascii="方正黑体_GBK" w:hAnsi="方正黑体_GBK" w:eastAsia="方正黑体_GBK"/>
          <w:b/>
          <w:bCs/>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提供销售服务。</w:t>
      </w:r>
    </w:p>
    <w:p w14:paraId="2C1E6F78">
      <w:pPr>
        <w:keepNext w:val="0"/>
        <w:keepLines w:val="0"/>
        <w:pageBreakBefore w:val="0"/>
        <w:widowControl/>
        <w:suppressLineNumbers w:val="0"/>
        <w:suppressAutoHyphens w:val="0"/>
        <w:spacing w:line="240" w:lineRule="auto"/>
        <w:ind w:firstLine="420"/>
        <w:rPr>
          <w:rFonts w:ascii="方正黑体_GBK" w:hAnsi="方正黑体_GBK" w:eastAsia="方正黑体_GBK" w:cs="Times New Roman"/>
          <w:b/>
          <w:bCs w:val="0"/>
          <w:vanish w:val="0"/>
          <w:color w:val="3D3D3D"/>
          <w:kern w:val="0"/>
          <w:sz w:val="20"/>
          <w:szCs w:val="20"/>
          <w:u w:val="single"/>
        </w:rPr>
      </w:pPr>
      <w:r>
        <w:rPr>
          <w:rFonts w:hint="eastAsia" w:ascii="方正黑体_GBK" w:hAnsi="方正黑体_GBK" w:eastAsia="方正黑体_GBK" w:cs="Times New Roman"/>
          <w:b/>
          <w:bCs w:val="0"/>
          <w:vanish w:val="0"/>
          <w:color w:val="3D3D3D"/>
          <w:kern w:val="0"/>
          <w:sz w:val="20"/>
          <w:szCs w:val="20"/>
        </w:rPr>
        <w:t>3.</w:t>
      </w:r>
      <w:r>
        <w:rPr>
          <w:rFonts w:hint="eastAsia" w:ascii="方正黑体_GBK" w:hAnsi="方正黑体_GBK" w:eastAsia="方正黑体_GBK" w:cs="Times New Roman"/>
          <w:b/>
          <w:bCs w:val="0"/>
          <w:vanish w:val="0"/>
          <w:color w:val="3D3D3D"/>
          <w:kern w:val="0"/>
          <w:sz w:val="20"/>
          <w:szCs w:val="20"/>
          <w:u w:val="single"/>
        </w:rPr>
        <w:t>本投资者确认，投资本理财产品的资金非贷款、发行债券等募集的非自有资金。</w:t>
      </w:r>
    </w:p>
    <w:p w14:paraId="23617A85">
      <w:pPr>
        <w:keepNext w:val="0"/>
        <w:keepLines w:val="0"/>
        <w:pageBreakBefore w:val="0"/>
        <w:widowControl/>
        <w:suppressLineNumbers w:val="0"/>
        <w:suppressAutoHyphens w:val="0"/>
        <w:spacing w:line="240" w:lineRule="auto"/>
        <w:ind w:firstLine="420"/>
        <w:rPr>
          <w:rFonts w:hint="eastAsia" w:ascii="方正黑体_GBK" w:hAnsi="方正黑体_GBK" w:eastAsia="方正黑体_GBK" w:cs="Times New Roman"/>
          <w:b/>
          <w:bCs w:val="0"/>
          <w:vanish w:val="0"/>
          <w:color w:val="3D3D3D"/>
          <w:kern w:val="0"/>
          <w:sz w:val="20"/>
          <w:szCs w:val="20"/>
          <w:u w:val="single"/>
        </w:rPr>
      </w:pPr>
      <w:r>
        <w:rPr>
          <w:rFonts w:hint="eastAsia" w:ascii="方正黑体_GBK" w:hAnsi="方正黑体_GBK" w:eastAsia="方正黑体_GBK" w:cs="Times New Roman"/>
          <w:b/>
          <w:bCs w:val="0"/>
          <w:vanish w:val="0"/>
          <w:color w:val="3D3D3D"/>
          <w:kern w:val="0"/>
          <w:sz w:val="20"/>
          <w:szCs w:val="20"/>
        </w:rPr>
        <w:t>4.</w:t>
      </w:r>
      <w:r>
        <w:rPr>
          <w:rFonts w:hint="eastAsia" w:ascii="方正黑体_GBK" w:hAnsi="方正黑体_GBK" w:eastAsia="方正黑体_GBK" w:cs="Times New Roman"/>
          <w:b/>
          <w:bCs w:val="0"/>
          <w:vanish w:val="0"/>
          <w:color w:val="3D3D3D"/>
          <w:kern w:val="0"/>
          <w:sz w:val="20"/>
          <w:szCs w:val="20"/>
          <w:u w:val="single"/>
        </w:rPr>
        <w:t>本投资者在购买本理财产品前已完成风险承受能力评估，且该评估结果具有效力。本投资者的风险评级结果为    （低、 中低、中、中高、高）。如果影响本投资者风险承受能力的因素发生变化，本投资者将及时完成风险承受能力评估，否则由此产生的责任和风险由本投资者自行承担。</w:t>
      </w:r>
      <w:r>
        <w:rPr>
          <w:rFonts w:hint="eastAsia" w:ascii="方正黑体_GBK" w:hAnsi="方正黑体_GBK" w:eastAsia="方正黑体_GBK"/>
          <w:b/>
          <w:bCs w:val="0"/>
          <w:vanish w:val="0"/>
          <w:color w:val="3D3D3D"/>
          <w:kern w:val="0"/>
          <w:sz w:val="20"/>
          <w:szCs w:val="20"/>
          <w:u w:val="single"/>
        </w:rPr>
        <w:t>（仅由个人投资者亲自填写）</w:t>
      </w:r>
    </w:p>
    <w:p w14:paraId="70E6CB2A">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20"/>
        <w:rPr>
          <w:rFonts w:hint="eastAsia" w:ascii="方正黑体_GBK" w:hAnsi="方正黑体_GBK" w:eastAsia="方正黑体_GBK" w:cs="Times New Roman"/>
          <w:b/>
          <w:bCs w:val="0"/>
          <w:vanish w:val="0"/>
          <w:color w:val="3D3D3D"/>
          <w:kern w:val="0"/>
          <w:sz w:val="20"/>
          <w:szCs w:val="20"/>
          <w:u w:val="single"/>
        </w:rPr>
      </w:pPr>
      <w:r>
        <w:rPr>
          <w:rFonts w:hint="eastAsia" w:ascii="方正黑体_GBK" w:hAnsi="方正黑体_GBK" w:eastAsia="方正黑体_GBK"/>
          <w:b/>
          <w:bCs w:val="0"/>
          <w:vanish w:val="0"/>
          <w:color w:val="3D3D3D"/>
          <w:kern w:val="0"/>
          <w:sz w:val="20"/>
          <w:szCs w:val="20"/>
        </w:rPr>
        <w:t>5.</w:t>
      </w:r>
      <w:r>
        <w:rPr>
          <w:rFonts w:hint="eastAsia" w:ascii="方正黑体_GBK" w:hAnsi="方正黑体_GBK" w:eastAsia="方正黑体_GBK"/>
          <w:b/>
          <w:bCs w:val="0"/>
          <w:vanish w:val="0"/>
          <w:color w:val="3D3D3D"/>
          <w:kern w:val="0"/>
          <w:sz w:val="20"/>
          <w:szCs w:val="20"/>
          <w:u w:val="single"/>
        </w:rPr>
        <w:t>本投资者已认真阅读并充分理解本风险揭示书</w:t>
      </w:r>
      <w:r>
        <w:rPr>
          <w:rFonts w:hint="eastAsia" w:ascii="方正黑体_GBK" w:hAnsi="方正黑体_GBK" w:eastAsia="方正黑体_GBK" w:cs="Times New Roman"/>
          <w:b/>
          <w:bCs w:val="0"/>
          <w:vanish w:val="0"/>
          <w:color w:val="3D3D3D"/>
          <w:kern w:val="0"/>
          <w:sz w:val="20"/>
          <w:szCs w:val="20"/>
          <w:u w:val="single"/>
        </w:rPr>
        <w:t>及对应期次</w:t>
      </w:r>
      <w:r>
        <w:rPr>
          <w:rFonts w:hint="eastAsia" w:ascii="方正黑体_GBK" w:hAnsi="方正黑体_GBK" w:eastAsia="方正黑体_GBK"/>
          <w:b/>
          <w:bCs w:val="0"/>
          <w:vanish w:val="0"/>
          <w:color w:val="3D3D3D"/>
          <w:kern w:val="0"/>
          <w:sz w:val="20"/>
          <w:szCs w:val="20"/>
          <w:u w:val="single"/>
        </w:rPr>
        <w:t>《理财产品销售协议书》《理财产品说明书》《投资者权益须知》</w:t>
      </w:r>
      <w:r>
        <w:rPr>
          <w:rFonts w:hint="eastAsia" w:ascii="方正黑体_GBK" w:hAnsi="方正黑体_GBK" w:eastAsia="方正黑体_GBK" w:cs="Times New Roman"/>
          <w:b/>
          <w:bCs w:val="0"/>
          <w:vanish w:val="0"/>
          <w:color w:val="3D3D3D"/>
          <w:kern w:val="0"/>
          <w:sz w:val="20"/>
          <w:szCs w:val="20"/>
          <w:u w:val="single"/>
        </w:rPr>
        <w:t>《理财产品投资协议书》等理财产品销售文件</w:t>
      </w:r>
      <w:r>
        <w:rPr>
          <w:rFonts w:hint="eastAsia" w:ascii="方正黑体_GBK" w:hAnsi="方正黑体_GBK" w:eastAsia="方正黑体_GBK"/>
          <w:b/>
          <w:bCs w:val="0"/>
          <w:vanish w:val="0"/>
          <w:color w:val="3D3D3D"/>
          <w:kern w:val="0"/>
          <w:sz w:val="20"/>
          <w:szCs w:val="20"/>
          <w:u w:val="single"/>
        </w:rPr>
        <w:t>的全部条款与内容，</w:t>
      </w:r>
      <w:r>
        <w:rPr>
          <w:rFonts w:hint="eastAsia" w:ascii="方正黑体_GBK" w:hAnsi="方正黑体_GBK" w:eastAsia="方正黑体_GBK" w:cs="Times New Roman"/>
          <w:b/>
          <w:bCs w:val="0"/>
          <w:vanish w:val="0"/>
          <w:color w:val="3D3D3D"/>
          <w:kern w:val="0"/>
          <w:sz w:val="20"/>
          <w:szCs w:val="20"/>
          <w:u w:val="single"/>
        </w:rPr>
        <w:t>完全清楚理财产品购买流程、风险评估、产品评级含义、信息披露方式及渠道、南银理财及销售机构联系方式及投诉程序等内容，</w:t>
      </w:r>
      <w:r>
        <w:rPr>
          <w:rFonts w:hint="eastAsia" w:ascii="方正黑体_GBK" w:hAnsi="方正黑体_GBK" w:eastAsia="方正黑体_GBK"/>
          <w:b/>
          <w:bCs w:val="0"/>
          <w:vanish w:val="0"/>
          <w:color w:val="3D3D3D"/>
          <w:kern w:val="0"/>
          <w:sz w:val="20"/>
          <w:szCs w:val="20"/>
          <w:u w:val="single"/>
        </w:rPr>
        <w:t>充分了解履行上述文件的责任，具有识别及承担相关风险的能力，充分了解本理财产品的风险并愿意承担相关风险。</w:t>
      </w:r>
    </w:p>
    <w:p w14:paraId="4DB679B3">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20"/>
        <w:rPr>
          <w:rFonts w:hint="eastAsia" w:ascii="方正黑体_GBK" w:hAnsi="方正黑体_GBK" w:eastAsia="方正黑体_GBK" w:cs="Times New Roman"/>
          <w:b/>
          <w:bCs w:val="0"/>
          <w:vanish w:val="0"/>
          <w:color w:val="3D3D3D"/>
          <w:kern w:val="0"/>
          <w:sz w:val="20"/>
          <w:szCs w:val="20"/>
          <w:u w:val="single"/>
        </w:rPr>
      </w:pPr>
      <w:r>
        <w:rPr>
          <w:rFonts w:hint="eastAsia" w:ascii="方正黑体_GBK" w:hAnsi="方正黑体_GBK" w:eastAsia="方正黑体_GBK" w:cs="Times New Roman"/>
          <w:b/>
          <w:bCs w:val="0"/>
          <w:vanish w:val="0"/>
          <w:color w:val="3D3D3D"/>
          <w:kern w:val="0"/>
          <w:sz w:val="20"/>
          <w:szCs w:val="20"/>
        </w:rPr>
        <w:t>6.</w:t>
      </w:r>
      <w:r>
        <w:rPr>
          <w:rFonts w:hint="eastAsia" w:ascii="方正黑体_GBK" w:hAnsi="方正黑体_GBK" w:eastAsia="方正黑体_GBK" w:cs="Times New Roman"/>
          <w:b/>
          <w:bCs w:val="0"/>
          <w:vanish w:val="0"/>
          <w:color w:val="3D3D3D"/>
          <w:kern w:val="0"/>
          <w:sz w:val="20"/>
          <w:szCs w:val="20"/>
          <w:u w:val="single"/>
        </w:rPr>
        <w:t>南银理财和销售机构已就理财产品销售文件向本投资者进行了详细的说明和解释，本投资者已充分认识理财产品的风险和收益，并在已充分了解各项文件内容的基础上，完全由本投资者独立、自主、谨慎作出本次投资决策，并未依赖于南银理财和销售机构在理财产品销售文件之外的任何陈述、说明、文件或承诺，南银理财和销售机构的义务和责任以理财产品销售文件明确记载的书面内容为准。</w:t>
      </w:r>
    </w:p>
    <w:p w14:paraId="543D0CC8">
      <w:pPr>
        <w:keepNext w:val="0"/>
        <w:keepLines w:val="0"/>
        <w:pageBreakBefore w:val="0"/>
        <w:widowControl/>
        <w:suppressLineNumbers w:val="0"/>
        <w:suppressAutoHyphens w:val="0"/>
        <w:spacing w:line="240" w:lineRule="auto"/>
        <w:ind w:firstLine="420"/>
        <w:rPr>
          <w:rFonts w:ascii="方正黑体_GBK" w:hAnsi="方正黑体_GBK" w:eastAsia="方正黑体_GBK"/>
          <w:b/>
          <w:bCs w:val="0"/>
          <w:vanish w:val="0"/>
          <w:color w:val="3D3D3D"/>
          <w:kern w:val="0"/>
          <w:sz w:val="20"/>
          <w:szCs w:val="20"/>
          <w:u w:val="single"/>
        </w:rPr>
      </w:pPr>
      <w:r>
        <w:rPr>
          <w:rFonts w:hint="eastAsia" w:ascii="方正黑体_GBK" w:hAnsi="方正黑体_GBK" w:eastAsia="方正黑体_GBK" w:cs="Times New Roman"/>
          <w:b/>
          <w:bCs w:val="0"/>
          <w:vanish w:val="0"/>
          <w:color w:val="3D3D3D"/>
          <w:kern w:val="0"/>
          <w:sz w:val="20"/>
          <w:szCs w:val="20"/>
        </w:rPr>
        <w:t>7.</w:t>
      </w:r>
      <w:r>
        <w:rPr>
          <w:rFonts w:hint="eastAsia" w:ascii="方正黑体_GBK" w:hAnsi="方正黑体_GBK" w:eastAsia="方正黑体_GBK" w:cs="Times New Roman"/>
          <w:b/>
          <w:bCs w:val="0"/>
          <w:vanish w:val="0"/>
          <w:color w:val="3D3D3D"/>
          <w:kern w:val="0"/>
          <w:sz w:val="20"/>
          <w:szCs w:val="20"/>
          <w:u w:val="single"/>
        </w:rPr>
        <w:t>如销售机构为管理人关联方的，本</w:t>
      </w:r>
      <w:r>
        <w:rPr>
          <w:rFonts w:hint="eastAsia" w:ascii="方正黑体_GBK" w:hAnsi="方正黑体_GBK" w:eastAsia="方正黑体_GBK"/>
          <w:b/>
          <w:bCs w:val="0"/>
          <w:vanish w:val="0"/>
          <w:color w:val="3D3D3D"/>
          <w:kern w:val="0"/>
          <w:sz w:val="20"/>
          <w:szCs w:val="20"/>
          <w:u w:val="single"/>
        </w:rPr>
        <w:t>投资者认可此等关联方及关联交易情形的存在并自愿承担相关投资风险。</w:t>
      </w:r>
    </w:p>
    <w:p w14:paraId="1B71C0ED">
      <w:pPr>
        <w:keepNext w:val="0"/>
        <w:keepLines w:val="0"/>
        <w:pageBreakBefore w:val="0"/>
        <w:widowControl/>
        <w:suppressLineNumbers w:val="0"/>
        <w:suppressAutoHyphens w:val="0"/>
        <w:spacing w:line="240" w:lineRule="auto"/>
        <w:ind w:firstLine="420"/>
        <w:rPr>
          <w:rFonts w:ascii="方正黑体_GBK" w:hAnsi="方正黑体_GBK" w:eastAsia="方正黑体_GBK"/>
          <w:vanish w:val="0"/>
          <w:color w:val="3D3D3D"/>
          <w:kern w:val="0"/>
          <w:sz w:val="20"/>
          <w:szCs w:val="20"/>
          <w:u w:val="single"/>
        </w:rPr>
      </w:pPr>
      <w:r>
        <w:rPr>
          <w:rFonts w:hint="eastAsia" w:ascii="方正黑体_GBK" w:hAnsi="方正黑体_GBK" w:eastAsia="方正黑体_GBK"/>
          <w:vanish w:val="0"/>
          <w:color w:val="3D3D3D"/>
          <w:kern w:val="0"/>
          <w:sz w:val="20"/>
          <w:szCs w:val="20"/>
        </w:rPr>
        <w:t>8.以下划线部分，请投资者抄录确认：</w:t>
      </w:r>
      <w:r>
        <w:rPr>
          <w:rFonts w:ascii="方正黑体_GBK" w:hAnsi="方正黑体_GBK" w:eastAsia="方正黑体_GBK"/>
          <w:vanish w:val="0"/>
          <w:color w:val="3D3D3D"/>
          <w:kern w:val="0"/>
          <w:sz w:val="20"/>
          <w:szCs w:val="20"/>
        </w:rPr>
        <w:t>“</w:t>
      </w:r>
      <w:r>
        <w:rPr>
          <w:rFonts w:hint="eastAsia" w:ascii="方正黑体_GBK" w:hAnsi="方正黑体_GBK" w:eastAsia="方正黑体_GBK" w:cs="Times New Roman"/>
          <w:b/>
          <w:bCs w:val="0"/>
          <w:vanish w:val="0"/>
          <w:color w:val="3D3D3D"/>
          <w:kern w:val="0"/>
          <w:sz w:val="20"/>
          <w:szCs w:val="20"/>
          <w:u w:val="single"/>
        </w:rPr>
        <w:t>本人已经阅读风险揭示，愿意承担投资风险</w:t>
      </w:r>
      <w:r>
        <w:rPr>
          <w:rFonts w:ascii="方正黑体_GBK" w:hAnsi="方正黑体_GBK" w:eastAsia="方正黑体_GBK"/>
          <w:vanish w:val="0"/>
          <w:color w:val="3D3D3D"/>
          <w:kern w:val="0"/>
          <w:sz w:val="20"/>
          <w:szCs w:val="20"/>
        </w:rPr>
        <w:t>”</w:t>
      </w:r>
      <w:r>
        <w:rPr>
          <w:rFonts w:hint="eastAsia" w:ascii="方正黑体_GBK" w:hAnsi="方正黑体_GBK" w:eastAsia="方正黑体_GBK" w:cs="Times New Roman"/>
          <w:vanish w:val="0"/>
          <w:color w:val="3D3D3D"/>
          <w:kern w:val="0"/>
          <w:sz w:val="20"/>
          <w:szCs w:val="20"/>
        </w:rPr>
        <w:t>。</w:t>
      </w:r>
    </w:p>
    <w:p w14:paraId="73956EA8">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10"/>
        <w:rPr>
          <w:rFonts w:ascii="方正黑体_GBK" w:hAnsi="方正黑体_GBK" w:eastAsia="方正黑体_GBK"/>
          <w:vanish w:val="0"/>
          <w:color w:val="3D3D3D"/>
          <w:kern w:val="0"/>
          <w:sz w:val="20"/>
          <w:szCs w:val="20"/>
        </w:rPr>
      </w:pPr>
      <w:r>
        <w:rPr>
          <w:rFonts w:hint="eastAsia" w:ascii="方正黑体_GBK" w:hAnsi="方正黑体_GBK" w:eastAsia="方正黑体_GBK" w:cs="Times New Roman"/>
          <w:vanish w:val="0"/>
          <w:color w:val="3D3D3D"/>
          <w:kern w:val="0"/>
          <w:sz w:val="20"/>
          <w:szCs w:val="20"/>
        </w:rPr>
        <w:t xml:space="preserve">         </w:t>
      </w:r>
    </w:p>
    <w:p w14:paraId="2D25CD85">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10"/>
        <w:rPr>
          <w:rFonts w:ascii="方正黑体_GBK" w:hAnsi="方正黑体_GBK" w:eastAsia="方正黑体_GBK"/>
          <w:vanish w:val="0"/>
          <w:color w:val="3D3D3D"/>
          <w:kern w:val="0"/>
          <w:sz w:val="20"/>
          <w:szCs w:val="20"/>
        </w:rPr>
      </w:pPr>
    </w:p>
    <w:p w14:paraId="0B413FE1">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10"/>
        <w:rPr>
          <w:rFonts w:ascii="方正黑体_GBK" w:hAnsi="方正黑体_GBK" w:eastAsia="方正黑体_GBK"/>
          <w:vanish w:val="0"/>
          <w:color w:val="3D3D3D"/>
          <w:kern w:val="0"/>
          <w:sz w:val="20"/>
          <w:szCs w:val="20"/>
        </w:rPr>
      </w:pPr>
      <w:r>
        <w:rPr>
          <w:rFonts w:hint="eastAsia" w:ascii="方正黑体_GBK" w:hAnsi="方正黑体_GBK" w:eastAsia="方正黑体_GBK"/>
          <w:vanish w:val="0"/>
          <w:color w:val="3D3D3D"/>
          <w:kern w:val="0"/>
          <w:sz w:val="20"/>
          <w:szCs w:val="20"/>
        </w:rPr>
        <w:t>投资者抄录：</w:t>
      </w:r>
      <w:r>
        <w:rPr>
          <w:rFonts w:ascii="方正黑体_GBK" w:hAnsi="方正黑体_GBK" w:eastAsia="方正黑体_GBK"/>
          <w:vanish w:val="0"/>
          <w:kern w:val="2"/>
          <w:sz w:val="20"/>
          <w:szCs w:val="20"/>
          <w:u w:val="single"/>
        </w:rPr>
        <w:tab/>
      </w:r>
      <w:r>
        <w:rPr>
          <w:rFonts w:ascii="方正黑体_GBK" w:hAnsi="方正黑体_GBK" w:eastAsia="方正黑体_GBK"/>
          <w:vanish w:val="0"/>
          <w:kern w:val="2"/>
          <w:sz w:val="20"/>
          <w:szCs w:val="20"/>
          <w:u w:val="single"/>
        </w:rPr>
        <w:tab/>
      </w:r>
      <w:r>
        <w:rPr>
          <w:rFonts w:ascii="方正黑体_GBK" w:hAnsi="方正黑体_GBK" w:eastAsia="方正黑体_GBK"/>
          <w:vanish w:val="0"/>
          <w:kern w:val="2"/>
          <w:sz w:val="20"/>
          <w:szCs w:val="20"/>
          <w:u w:val="single"/>
        </w:rPr>
        <w:tab/>
      </w:r>
      <w:r>
        <w:rPr>
          <w:rFonts w:ascii="方正黑体_GBK" w:hAnsi="方正黑体_GBK" w:eastAsia="方正黑体_GBK"/>
          <w:vanish w:val="0"/>
          <w:kern w:val="2"/>
          <w:sz w:val="20"/>
          <w:szCs w:val="20"/>
          <w:u w:val="single"/>
        </w:rPr>
        <w:tab/>
      </w:r>
      <w:r>
        <w:rPr>
          <w:rFonts w:ascii="方正黑体_GBK" w:hAnsi="方正黑体_GBK" w:eastAsia="方正黑体_GBK"/>
          <w:vanish w:val="0"/>
          <w:kern w:val="2"/>
          <w:sz w:val="20"/>
          <w:szCs w:val="20"/>
          <w:u w:val="single"/>
        </w:rPr>
        <w:tab/>
      </w:r>
      <w:r>
        <w:rPr>
          <w:rFonts w:ascii="方正黑体_GBK" w:hAnsi="方正黑体_GBK" w:eastAsia="方正黑体_GBK"/>
          <w:vanish w:val="0"/>
          <w:kern w:val="2"/>
          <w:sz w:val="20"/>
          <w:szCs w:val="20"/>
          <w:u w:val="single"/>
        </w:rPr>
        <w:tab/>
      </w:r>
      <w:r>
        <w:rPr>
          <w:rFonts w:ascii="方正黑体_GBK" w:hAnsi="方正黑体_GBK" w:eastAsia="方正黑体_GBK"/>
          <w:vanish w:val="0"/>
          <w:kern w:val="2"/>
          <w:sz w:val="20"/>
          <w:szCs w:val="20"/>
          <w:u w:val="single"/>
        </w:rPr>
        <w:tab/>
      </w:r>
      <w:r>
        <w:rPr>
          <w:rFonts w:ascii="方正黑体_GBK" w:hAnsi="方正黑体_GBK" w:eastAsia="方正黑体_GBK"/>
          <w:vanish w:val="0"/>
          <w:kern w:val="2"/>
          <w:sz w:val="20"/>
          <w:szCs w:val="20"/>
          <w:u w:val="single"/>
        </w:rPr>
        <w:tab/>
      </w:r>
      <w:r>
        <w:rPr>
          <w:rFonts w:ascii="方正黑体_GBK" w:hAnsi="方正黑体_GBK" w:eastAsia="方正黑体_GBK"/>
          <w:vanish w:val="0"/>
          <w:kern w:val="2"/>
          <w:sz w:val="20"/>
          <w:szCs w:val="20"/>
          <w:u w:val="single"/>
        </w:rPr>
        <w:tab/>
      </w:r>
    </w:p>
    <w:p w14:paraId="5078D714">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10"/>
        <w:rPr>
          <w:rFonts w:ascii="方正黑体_GBK" w:hAnsi="方正黑体_GBK" w:eastAsia="方正黑体_GBK"/>
          <w:vanish w:val="0"/>
          <w:color w:val="3D3D3D"/>
          <w:kern w:val="0"/>
          <w:sz w:val="18"/>
          <w:szCs w:val="18"/>
        </w:rPr>
      </w:pPr>
    </w:p>
    <w:p w14:paraId="4AC2C80E">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10"/>
        <w:jc w:val="left"/>
        <w:rPr>
          <w:rFonts w:ascii="方正黑体_GBK" w:hAnsi="方正黑体_GBK" w:eastAsia="方正黑体_GBK"/>
          <w:vanish w:val="0"/>
          <w:color w:val="3D3D3D"/>
          <w:kern w:val="0"/>
          <w:sz w:val="18"/>
          <w:szCs w:val="18"/>
        </w:rPr>
      </w:pPr>
    </w:p>
    <w:p w14:paraId="588ECB25">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10"/>
        <w:jc w:val="left"/>
        <w:rPr>
          <w:rFonts w:ascii="方正黑体_GBK" w:hAnsi="方正黑体_GBK" w:eastAsia="方正黑体_GBK"/>
          <w:vanish w:val="0"/>
          <w:color w:val="3D3D3D"/>
          <w:kern w:val="0"/>
          <w:sz w:val="18"/>
          <w:szCs w:val="18"/>
        </w:rPr>
      </w:pPr>
    </w:p>
    <w:tbl>
      <w:tblPr>
        <w:tblStyle w:val="12"/>
        <w:tblW w:w="0" w:type="auto"/>
        <w:tblInd w:w="0" w:type="dxa"/>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
      <w:tblGrid>
        <w:gridCol w:w="9287"/>
      </w:tblGrid>
      <w:tr w14:paraId="0DBCAC82">
        <w:trPr>
          <w:trHeight w:val="534" w:hRule="atLeast"/>
          <w:hidden/>
        </w:trPr>
        <w:tc>
          <w:tcPr>
            <w:tcW w:w="9287" w:type="dxa"/>
            <w:tcBorders>
              <w:top w:val="single" w:color="auto" w:sz="4" w:space="0"/>
              <w:left w:val="single" w:color="auto" w:sz="4" w:space="0"/>
              <w:bottom w:val="single" w:color="auto" w:sz="4" w:space="0"/>
              <w:right w:val="single" w:color="auto" w:sz="4" w:space="0"/>
              <w:tl2br w:val="nil"/>
              <w:tr2bl w:val="nil"/>
            </w:tcBorders>
            <w:vAlign w:val="center"/>
          </w:tcPr>
          <w:p w14:paraId="3DC9D354">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jc w:val="center"/>
              <w:rPr>
                <w:rFonts w:ascii="方正黑体_GBK" w:hAnsi="方正黑体_GBK" w:eastAsia="方正黑体_GBK"/>
                <w:b/>
                <w:bCs w:val="0"/>
                <w:vanish w:val="0"/>
                <w:kern w:val="2"/>
                <w:sz w:val="20"/>
                <w:szCs w:val="20"/>
              </w:rPr>
            </w:pPr>
            <w:r>
              <w:rPr>
                <w:rFonts w:hint="eastAsia" w:ascii="方正黑体_GBK" w:hAnsi="方正黑体_GBK" w:eastAsia="方正黑体_GBK"/>
                <w:b/>
                <w:bCs w:val="0"/>
                <w:vanish w:val="0"/>
                <w:kern w:val="2"/>
                <w:sz w:val="20"/>
                <w:szCs w:val="20"/>
              </w:rPr>
              <w:t>个人投资者</w:t>
            </w:r>
          </w:p>
        </w:tc>
      </w:tr>
      <w:tr w14:paraId="48893D49">
        <w:trPr>
          <w:hidden/>
        </w:trPr>
        <w:tc>
          <w:tcPr>
            <w:tcW w:w="9287" w:type="dxa"/>
            <w:tcBorders>
              <w:top w:val="single" w:color="auto" w:sz="4" w:space="0"/>
              <w:left w:val="single" w:color="auto" w:sz="4" w:space="0"/>
              <w:bottom w:val="single" w:color="auto" w:sz="4" w:space="0"/>
              <w:right w:val="single" w:color="auto" w:sz="4" w:space="0"/>
              <w:tl2br w:val="nil"/>
              <w:tr2bl w:val="nil"/>
            </w:tcBorders>
          </w:tcPr>
          <w:p w14:paraId="4BAB11DF">
            <w:pPr>
              <w:keepNext w:val="0"/>
              <w:keepLines w:val="0"/>
              <w:pageBreakBefore w:val="0"/>
              <w:widowControl/>
              <w:suppressLineNumbers w:val="0"/>
              <w:suppressAutoHyphens w:val="0"/>
              <w:spacing w:after="0" w:afterAutospacing="0" w:line="240" w:lineRule="auto"/>
              <w:ind w:left="0"/>
              <w:rPr>
                <w:rFonts w:ascii="方正黑体_GBK" w:hAnsi="方正黑体_GBK" w:eastAsia="方正黑体_GBK"/>
                <w:vanish w:val="0"/>
                <w:color w:val="3D3D3D"/>
                <w:kern w:val="0"/>
                <w:sz w:val="18"/>
                <w:szCs w:val="18"/>
              </w:rPr>
            </w:pPr>
            <w:r>
              <w:rPr>
                <w:rFonts w:hint="eastAsia" w:ascii="方正黑体_GBK" w:hAnsi="方正黑体_GBK" w:eastAsia="方正黑体_GBK"/>
                <w:vanish w:val="0"/>
                <w:color w:val="auto"/>
                <w:kern w:val="2"/>
                <w:sz w:val="20"/>
                <w:szCs w:val="20"/>
              </w:rPr>
              <w:t>签名：</w:t>
            </w:r>
          </w:p>
          <w:p w14:paraId="02223453">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firstLine="180" w:firstLineChars="100"/>
              <w:rPr>
                <w:rFonts w:ascii="方正黑体_GBK" w:hAnsi="方正黑体_GBK" w:eastAsia="方正黑体_GBK"/>
                <w:vanish w:val="0"/>
                <w:color w:val="auto"/>
                <w:kern w:val="2"/>
                <w:sz w:val="20"/>
                <w:szCs w:val="20"/>
              </w:rPr>
            </w:pPr>
            <w:r>
              <w:rPr>
                <w:rFonts w:hint="eastAsia" w:ascii="方正黑体_GBK" w:hAnsi="方正黑体_GBK" w:eastAsia="方正黑体_GBK"/>
                <w:vanish w:val="0"/>
                <w:color w:val="3D3D3D"/>
                <w:kern w:val="0"/>
                <w:sz w:val="18"/>
                <w:szCs w:val="18"/>
              </w:rPr>
              <w:t>年</w:t>
            </w:r>
            <w:r>
              <w:rPr>
                <w:rFonts w:ascii="方正黑体_GBK" w:hAnsi="方正黑体_GBK" w:eastAsia="方正黑体_GBK"/>
                <w:vanish w:val="0"/>
                <w:color w:val="3D3D3D"/>
                <w:kern w:val="0"/>
                <w:sz w:val="18"/>
                <w:szCs w:val="18"/>
              </w:rPr>
              <w:t xml:space="preserve">   </w:t>
            </w:r>
            <w:r>
              <w:rPr>
                <w:rFonts w:hint="eastAsia" w:ascii="方正黑体_GBK" w:hAnsi="方正黑体_GBK" w:eastAsia="方正黑体_GBK"/>
                <w:vanish w:val="0"/>
                <w:color w:val="3D3D3D"/>
                <w:kern w:val="0"/>
                <w:sz w:val="18"/>
                <w:szCs w:val="18"/>
              </w:rPr>
              <w:t>月</w:t>
            </w:r>
            <w:r>
              <w:rPr>
                <w:rFonts w:ascii="方正黑体_GBK" w:hAnsi="方正黑体_GBK" w:eastAsia="方正黑体_GBK"/>
                <w:vanish w:val="0"/>
                <w:color w:val="3D3D3D"/>
                <w:kern w:val="0"/>
                <w:sz w:val="18"/>
                <w:szCs w:val="18"/>
              </w:rPr>
              <w:t xml:space="preserve">    </w:t>
            </w:r>
            <w:r>
              <w:rPr>
                <w:rFonts w:hint="eastAsia" w:ascii="方正黑体_GBK" w:hAnsi="方正黑体_GBK" w:eastAsia="方正黑体_GBK"/>
                <w:vanish w:val="0"/>
                <w:color w:val="3D3D3D"/>
                <w:kern w:val="0"/>
                <w:sz w:val="18"/>
                <w:szCs w:val="18"/>
              </w:rPr>
              <w:t>日</w:t>
            </w:r>
          </w:p>
        </w:tc>
      </w:tr>
      <w:tr w14:paraId="1C53A819">
        <w:trPr>
          <w:trHeight w:val="571" w:hRule="atLeast"/>
          <w:hidden/>
        </w:trPr>
        <w:tc>
          <w:tcPr>
            <w:tcW w:w="9287" w:type="dxa"/>
            <w:tcBorders>
              <w:top w:val="single" w:color="auto" w:sz="4" w:space="0"/>
              <w:left w:val="single" w:color="auto" w:sz="4" w:space="0"/>
              <w:bottom w:val="single" w:color="auto" w:sz="4" w:space="0"/>
              <w:right w:val="single" w:color="auto" w:sz="4" w:space="0"/>
              <w:tl2br w:val="nil"/>
              <w:tr2bl w:val="nil"/>
            </w:tcBorders>
            <w:vAlign w:val="center"/>
          </w:tcPr>
          <w:p w14:paraId="4B2188AF">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jc w:val="center"/>
              <w:rPr>
                <w:rFonts w:ascii="方正黑体_GBK" w:hAnsi="方正黑体_GBK" w:eastAsia="方正黑体_GBK"/>
                <w:vanish w:val="0"/>
                <w:color w:val="auto"/>
                <w:kern w:val="2"/>
                <w:sz w:val="20"/>
                <w:szCs w:val="20"/>
              </w:rPr>
            </w:pPr>
            <w:r>
              <w:rPr>
                <w:rFonts w:hint="eastAsia" w:ascii="方正黑体_GBK" w:hAnsi="方正黑体_GBK" w:eastAsia="方正黑体_GBK"/>
                <w:b/>
                <w:bCs/>
                <w:vanish w:val="0"/>
                <w:color w:val="3D3D3D"/>
                <w:kern w:val="0"/>
                <w:sz w:val="20"/>
                <w:szCs w:val="20"/>
              </w:rPr>
              <w:t>机构投资者</w:t>
            </w:r>
          </w:p>
        </w:tc>
      </w:tr>
      <w:tr w14:paraId="5357BF00">
        <w:trPr>
          <w:hidden/>
        </w:trPr>
        <w:tc>
          <w:tcPr>
            <w:tcW w:w="9287" w:type="dxa"/>
            <w:tcBorders>
              <w:top w:val="single" w:color="auto" w:sz="4" w:space="0"/>
              <w:left w:val="single" w:color="auto" w:sz="4" w:space="0"/>
              <w:bottom w:val="single" w:color="auto" w:sz="4" w:space="0"/>
              <w:right w:val="single" w:color="auto" w:sz="4" w:space="0"/>
              <w:tl2br w:val="nil"/>
              <w:tr2bl w:val="nil"/>
            </w:tcBorders>
          </w:tcPr>
          <w:p w14:paraId="43C755B7">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jc w:val="left"/>
              <w:rPr>
                <w:rFonts w:ascii="方正黑体_GBK" w:hAnsi="方正黑体_GBK" w:eastAsia="方正黑体_GBK"/>
                <w:b/>
                <w:bCs/>
                <w:vanish w:val="0"/>
                <w:color w:val="3D3D3D"/>
                <w:kern w:val="0"/>
                <w:sz w:val="20"/>
                <w:szCs w:val="20"/>
              </w:rPr>
            </w:pPr>
          </w:p>
          <w:p w14:paraId="4635D27A">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jc w:val="left"/>
              <w:rPr>
                <w:rFonts w:ascii="方正黑体_GBK" w:hAnsi="方正黑体_GBK" w:eastAsia="方正黑体_GBK"/>
                <w:b/>
                <w:bCs/>
                <w:vanish w:val="0"/>
                <w:color w:val="3D3D3D"/>
                <w:kern w:val="0"/>
                <w:sz w:val="20"/>
                <w:szCs w:val="20"/>
              </w:rPr>
            </w:pPr>
            <w:r>
              <w:rPr>
                <w:rFonts w:hint="eastAsia" w:ascii="方正黑体_GBK" w:hAnsi="方正黑体_GBK" w:eastAsia="方正黑体_GBK"/>
                <w:b/>
                <w:bCs/>
                <w:vanish w:val="0"/>
                <w:color w:val="3D3D3D"/>
                <w:kern w:val="0"/>
                <w:sz w:val="20"/>
                <w:szCs w:val="20"/>
              </w:rPr>
              <w:t>盖章（公章）</w:t>
            </w:r>
          </w:p>
          <w:p w14:paraId="6ABE1957">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jc w:val="left"/>
              <w:rPr>
                <w:rFonts w:ascii="方正黑体_GBK" w:hAnsi="方正黑体_GBK" w:eastAsia="方正黑体_GBK"/>
                <w:b/>
                <w:bCs/>
                <w:vanish w:val="0"/>
                <w:color w:val="3D3D3D"/>
                <w:kern w:val="0"/>
                <w:sz w:val="20"/>
                <w:szCs w:val="20"/>
              </w:rPr>
            </w:pPr>
          </w:p>
          <w:p w14:paraId="476FC0C6">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jc w:val="left"/>
              <w:rPr>
                <w:rFonts w:ascii="方正黑体_GBK" w:hAnsi="方正黑体_GBK" w:eastAsia="方正黑体_GBK"/>
                <w:b/>
                <w:bCs/>
                <w:vanish w:val="0"/>
                <w:color w:val="3D3D3D"/>
                <w:kern w:val="0"/>
                <w:sz w:val="20"/>
                <w:szCs w:val="20"/>
              </w:rPr>
            </w:pPr>
            <w:r>
              <w:rPr>
                <w:rFonts w:hint="eastAsia" w:ascii="方正黑体_GBK" w:hAnsi="方正黑体_GBK" w:eastAsia="方正黑体_GBK"/>
                <w:b/>
                <w:bCs/>
                <w:vanish w:val="0"/>
                <w:color w:val="3D3D3D"/>
                <w:kern w:val="0"/>
                <w:sz w:val="20"/>
                <w:szCs w:val="20"/>
              </w:rPr>
              <w:t>法定代表人或授权代理人（</w:t>
            </w:r>
            <w:r>
              <w:rPr>
                <w:rFonts w:hint="eastAsia" w:ascii="方正黑体_GBK" w:hAnsi="方正黑体_GBK" w:eastAsia="方正黑体_GBK" w:cs="Times New Roman"/>
                <w:b/>
                <w:bCs/>
                <w:vanish w:val="0"/>
                <w:color w:val="3D3D3D"/>
                <w:kern w:val="0"/>
                <w:sz w:val="20"/>
                <w:szCs w:val="20"/>
              </w:rPr>
              <w:t>签名</w:t>
            </w:r>
            <w:r>
              <w:rPr>
                <w:rFonts w:hint="eastAsia" w:ascii="方正黑体_GBK" w:hAnsi="方正黑体_GBK" w:eastAsia="方正黑体_GBK"/>
                <w:b/>
                <w:bCs/>
                <w:vanish w:val="0"/>
                <w:color w:val="3D3D3D"/>
                <w:kern w:val="0"/>
                <w:sz w:val="20"/>
                <w:szCs w:val="20"/>
              </w:rPr>
              <w:t>或盖章）：</w:t>
            </w:r>
            <w:r>
              <w:rPr>
                <w:rFonts w:ascii="方正黑体_GBK" w:hAnsi="方正黑体_GBK" w:eastAsia="方正黑体_GBK"/>
                <w:b/>
                <w:bCs/>
                <w:vanish w:val="0"/>
                <w:color w:val="3D3D3D"/>
                <w:kern w:val="0"/>
                <w:sz w:val="20"/>
                <w:szCs w:val="20"/>
              </w:rPr>
              <w:t xml:space="preserve"> </w:t>
            </w:r>
            <w:r>
              <w:rPr>
                <w:rFonts w:ascii="方正黑体_GBK" w:hAnsi="方正黑体_GBK" w:eastAsia="方正黑体_GBK"/>
                <w:b/>
                <w:bCs/>
                <w:vanish w:val="0"/>
                <w:color w:val="3D3D3D"/>
                <w:kern w:val="0"/>
                <w:sz w:val="20"/>
                <w:szCs w:val="20"/>
              </w:rPr>
              <w:tab/>
            </w:r>
          </w:p>
          <w:p w14:paraId="37D7D7A6">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jc w:val="left"/>
              <w:rPr>
                <w:rFonts w:ascii="方正黑体_GBK" w:hAnsi="方正黑体_GBK" w:eastAsia="方正黑体_GBK"/>
                <w:vanish w:val="0"/>
                <w:color w:val="3D3D3D"/>
                <w:kern w:val="0"/>
                <w:sz w:val="18"/>
                <w:szCs w:val="18"/>
              </w:rPr>
            </w:pPr>
          </w:p>
          <w:p w14:paraId="6B8ADD84">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jc w:val="left"/>
              <w:rPr>
                <w:rFonts w:ascii="方正黑体_GBK" w:hAnsi="方正黑体_GBK" w:eastAsia="方正黑体_GBK"/>
                <w:vanish w:val="0"/>
                <w:color w:val="auto"/>
                <w:kern w:val="2"/>
                <w:sz w:val="20"/>
                <w:szCs w:val="20"/>
              </w:rPr>
            </w:pPr>
            <w:r>
              <w:rPr>
                <w:rFonts w:ascii="方正黑体_GBK" w:hAnsi="方正黑体_GBK" w:eastAsia="方正黑体_GBK"/>
                <w:vanish w:val="0"/>
                <w:color w:val="3D3D3D"/>
                <w:kern w:val="0"/>
                <w:sz w:val="18"/>
                <w:szCs w:val="18"/>
              </w:rPr>
              <w:t xml:space="preserve">      </w:t>
            </w:r>
            <w:r>
              <w:rPr>
                <w:rFonts w:hint="eastAsia" w:ascii="方正黑体_GBK" w:hAnsi="方正黑体_GBK" w:eastAsia="方正黑体_GBK"/>
                <w:vanish w:val="0"/>
                <w:color w:val="3D3D3D"/>
                <w:kern w:val="0"/>
                <w:sz w:val="18"/>
                <w:szCs w:val="18"/>
              </w:rPr>
              <w:t>年</w:t>
            </w:r>
            <w:r>
              <w:rPr>
                <w:rFonts w:ascii="方正黑体_GBK" w:hAnsi="方正黑体_GBK" w:eastAsia="方正黑体_GBK"/>
                <w:vanish w:val="0"/>
                <w:color w:val="3D3D3D"/>
                <w:kern w:val="0"/>
                <w:sz w:val="18"/>
                <w:szCs w:val="18"/>
              </w:rPr>
              <w:t xml:space="preserve">   </w:t>
            </w:r>
            <w:r>
              <w:rPr>
                <w:rFonts w:hint="eastAsia" w:ascii="方正黑体_GBK" w:hAnsi="方正黑体_GBK" w:eastAsia="方正黑体_GBK"/>
                <w:vanish w:val="0"/>
                <w:color w:val="3D3D3D"/>
                <w:kern w:val="0"/>
                <w:sz w:val="18"/>
                <w:szCs w:val="18"/>
              </w:rPr>
              <w:t>月</w:t>
            </w:r>
            <w:r>
              <w:rPr>
                <w:rFonts w:ascii="方正黑体_GBK" w:hAnsi="方正黑体_GBK" w:eastAsia="方正黑体_GBK"/>
                <w:vanish w:val="0"/>
                <w:color w:val="3D3D3D"/>
                <w:kern w:val="0"/>
                <w:sz w:val="18"/>
                <w:szCs w:val="18"/>
              </w:rPr>
              <w:t xml:space="preserve">    </w:t>
            </w:r>
            <w:r>
              <w:rPr>
                <w:rFonts w:hint="eastAsia" w:ascii="方正黑体_GBK" w:hAnsi="方正黑体_GBK" w:eastAsia="方正黑体_GBK"/>
                <w:vanish w:val="0"/>
                <w:color w:val="3D3D3D"/>
                <w:kern w:val="0"/>
                <w:sz w:val="18"/>
                <w:szCs w:val="18"/>
              </w:rPr>
              <w:t>日</w:t>
            </w:r>
          </w:p>
        </w:tc>
      </w:tr>
      <w:tr w14:paraId="5FA9EE61">
        <w:trPr>
          <w:trHeight w:val="611" w:hRule="atLeast"/>
          <w:hidden/>
        </w:trPr>
        <w:tc>
          <w:tcPr>
            <w:tcW w:w="9287" w:type="dxa"/>
            <w:tcBorders>
              <w:top w:val="single" w:color="auto" w:sz="4" w:space="0"/>
              <w:left w:val="single" w:color="auto" w:sz="4" w:space="0"/>
              <w:bottom w:val="single" w:color="auto" w:sz="4" w:space="0"/>
              <w:right w:val="single" w:color="auto" w:sz="4" w:space="0"/>
              <w:tl2br w:val="nil"/>
              <w:tr2bl w:val="nil"/>
            </w:tcBorders>
            <w:vAlign w:val="center"/>
          </w:tcPr>
          <w:p w14:paraId="139F703C">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jc w:val="center"/>
              <w:rPr>
                <w:rFonts w:ascii="方正黑体_GBK" w:hAnsi="方正黑体_GBK" w:eastAsia="方正黑体_GBK"/>
                <w:vanish w:val="0"/>
                <w:color w:val="auto"/>
                <w:kern w:val="2"/>
                <w:sz w:val="20"/>
                <w:szCs w:val="20"/>
              </w:rPr>
            </w:pPr>
            <w:r>
              <w:rPr>
                <w:rFonts w:hint="eastAsia" w:ascii="方正黑体_GBK" w:hAnsi="方正黑体_GBK" w:eastAsia="方正黑体_GBK"/>
                <w:b/>
                <w:bCs/>
                <w:vanish w:val="0"/>
                <w:color w:val="auto"/>
                <w:kern w:val="2"/>
                <w:sz w:val="20"/>
                <w:szCs w:val="20"/>
              </w:rPr>
              <w:t>电子</w:t>
            </w:r>
            <w:r>
              <w:rPr>
                <w:rFonts w:hint="eastAsia" w:ascii="方正黑体_GBK" w:hAnsi="方正黑体_GBK" w:eastAsia="方正黑体_GBK" w:cs="Times New Roman"/>
                <w:b/>
                <w:bCs/>
                <w:vanish w:val="0"/>
                <w:color w:val="auto"/>
                <w:kern w:val="2"/>
                <w:sz w:val="20"/>
                <w:szCs w:val="20"/>
              </w:rPr>
              <w:t>渠道</w:t>
            </w:r>
          </w:p>
        </w:tc>
      </w:tr>
      <w:tr w14:paraId="15BDD2A7">
        <w:trPr>
          <w:hidden/>
        </w:trPr>
        <w:tc>
          <w:tcPr>
            <w:tcW w:w="9287" w:type="dxa"/>
            <w:tcBorders>
              <w:top w:val="single" w:color="auto" w:sz="4" w:space="0"/>
              <w:left w:val="single" w:color="auto" w:sz="4" w:space="0"/>
              <w:bottom w:val="single" w:color="auto" w:sz="4" w:space="0"/>
              <w:right w:val="single" w:color="auto" w:sz="4" w:space="0"/>
              <w:tl2br w:val="nil"/>
              <w:tr2bl w:val="nil"/>
            </w:tcBorders>
          </w:tcPr>
          <w:p w14:paraId="2D072A09">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after="0" w:afterAutospacing="0" w:line="240" w:lineRule="auto"/>
              <w:ind w:left="0" w:firstLine="400" w:firstLineChars="200"/>
              <w:rPr>
                <w:rFonts w:ascii="方正黑体_GBK" w:hAnsi="方正黑体_GBK" w:eastAsia="方正黑体_GBK"/>
                <w:vanish w:val="0"/>
                <w:color w:val="auto"/>
                <w:kern w:val="2"/>
                <w:sz w:val="20"/>
                <w:szCs w:val="20"/>
              </w:rPr>
            </w:pPr>
            <w:r>
              <w:rPr>
                <w:rFonts w:hint="eastAsia" w:ascii="方正黑体_GBK" w:hAnsi="方正黑体_GBK" w:eastAsia="方正黑体_GBK"/>
                <w:b/>
                <w:bCs w:val="0"/>
                <w:vanish w:val="0"/>
                <w:color w:val="3D3D3D"/>
                <w:kern w:val="0"/>
                <w:sz w:val="20"/>
                <w:szCs w:val="20"/>
                <w:u w:val="single"/>
              </w:rPr>
              <w:t>如投资者通过电子</w:t>
            </w:r>
            <w:r>
              <w:rPr>
                <w:rFonts w:hint="eastAsia" w:ascii="方正黑体_GBK" w:hAnsi="方正黑体_GBK" w:eastAsia="方正黑体_GBK" w:cs="Times New Roman"/>
                <w:b/>
                <w:bCs w:val="0"/>
                <w:vanish w:val="0"/>
                <w:color w:val="3D3D3D"/>
                <w:kern w:val="0"/>
                <w:sz w:val="20"/>
                <w:szCs w:val="20"/>
                <w:u w:val="single"/>
              </w:rPr>
              <w:t>渠道</w:t>
            </w:r>
            <w:r>
              <w:rPr>
                <w:rFonts w:hint="eastAsia" w:ascii="方正黑体_GBK" w:hAnsi="方正黑体_GBK" w:eastAsia="方正黑体_GBK"/>
                <w:b/>
                <w:bCs w:val="0"/>
                <w:vanish w:val="0"/>
                <w:color w:val="3D3D3D"/>
                <w:kern w:val="0"/>
                <w:sz w:val="20"/>
                <w:szCs w:val="20"/>
                <w:u w:val="single"/>
              </w:rPr>
              <w:t>（包括但不限于网上银行、手机银行或官方网站等）购买本理财产品的，</w:t>
            </w:r>
            <w:r>
              <w:rPr>
                <w:rFonts w:hint="eastAsia" w:ascii="方正黑体_GBK" w:hAnsi="方正黑体_GBK" w:eastAsia="方正黑体_GBK"/>
                <w:vanish w:val="0"/>
                <w:spacing w:val="10"/>
                <w:kern w:val="2"/>
                <w:sz w:val="20"/>
                <w:szCs w:val="20"/>
              </w:rPr>
              <w:t>本风险揭示书以数据电文形式订立，</w:t>
            </w:r>
            <w:r>
              <w:rPr>
                <w:rFonts w:hint="eastAsia" w:ascii="方正黑体_GBK" w:hAnsi="方正黑体_GBK" w:eastAsia="方正黑体_GBK"/>
                <w:b/>
                <w:bCs w:val="0"/>
                <w:vanish w:val="0"/>
                <w:color w:val="3D3D3D"/>
                <w:kern w:val="0"/>
                <w:sz w:val="20"/>
                <w:szCs w:val="20"/>
                <w:u w:val="single"/>
              </w:rPr>
              <w:t>投资者</w:t>
            </w:r>
            <w:r>
              <w:rPr>
                <w:rFonts w:hint="eastAsia" w:ascii="方正黑体_GBK" w:hAnsi="方正黑体_GBK" w:eastAsia="方正黑体_GBK" w:cs="Times New Roman"/>
                <w:b/>
                <w:bCs w:val="0"/>
                <w:vanish w:val="0"/>
                <w:color w:val="3D3D3D"/>
                <w:kern w:val="0"/>
                <w:sz w:val="20"/>
                <w:szCs w:val="20"/>
                <w:u w:val="single"/>
              </w:rPr>
              <w:t>应在电子渠道仔细阅读风险揭示书的所有条款，对风险揭示书条款的含义及相应的法律后果应全部知晓并充分理解，同意接受风险揭示书条款，投资者成功缴纳购买资金并经管理人系统确认购买份额后</w:t>
            </w:r>
            <w:r>
              <w:rPr>
                <w:rFonts w:hint="eastAsia" w:ascii="方正黑体_GBK" w:hAnsi="方正黑体_GBK" w:eastAsia="方正黑体_GBK"/>
                <w:b/>
                <w:bCs w:val="0"/>
                <w:vanish w:val="0"/>
                <w:color w:val="3D3D3D"/>
                <w:kern w:val="0"/>
                <w:sz w:val="20"/>
                <w:szCs w:val="20"/>
                <w:u w:val="single"/>
              </w:rPr>
              <w:t>即视为</w:t>
            </w:r>
            <w:r>
              <w:rPr>
                <w:rFonts w:hint="eastAsia" w:ascii="方正黑体_GBK" w:hAnsi="方正黑体_GBK" w:eastAsia="方正黑体_GBK" w:cs="Times New Roman"/>
                <w:b/>
                <w:bCs w:val="0"/>
                <w:vanish w:val="0"/>
                <w:color w:val="3D3D3D"/>
                <w:kern w:val="0"/>
                <w:sz w:val="20"/>
                <w:szCs w:val="20"/>
                <w:u w:val="single"/>
              </w:rPr>
              <w:t>投资者</w:t>
            </w:r>
            <w:r>
              <w:rPr>
                <w:rFonts w:hint="eastAsia" w:ascii="方正黑体_GBK" w:hAnsi="方正黑体_GBK" w:eastAsia="方正黑体_GBK"/>
                <w:b/>
                <w:bCs w:val="0"/>
                <w:vanish w:val="0"/>
                <w:color w:val="3D3D3D"/>
                <w:kern w:val="0"/>
                <w:sz w:val="20"/>
                <w:szCs w:val="20"/>
                <w:u w:val="single"/>
              </w:rPr>
              <w:t>确认其符合本理财产品的风险等级并自愿承担投资风险。</w:t>
            </w:r>
            <w:r>
              <w:rPr>
                <w:rFonts w:hint="eastAsia" w:ascii="方正黑体_GBK" w:hAnsi="方正黑体_GBK" w:eastAsia="方正黑体_GBK"/>
                <w:vanish w:val="0"/>
                <w:spacing w:val="10"/>
                <w:kern w:val="2"/>
                <w:sz w:val="20"/>
                <w:szCs w:val="20"/>
              </w:rPr>
              <w:t>电子</w:t>
            </w:r>
            <w:r>
              <w:rPr>
                <w:rFonts w:hint="eastAsia" w:ascii="方正黑体_GBK" w:hAnsi="方正黑体_GBK" w:eastAsia="方正黑体_GBK" w:cs="Times New Roman"/>
                <w:vanish w:val="0"/>
                <w:spacing w:val="10"/>
                <w:kern w:val="2"/>
                <w:sz w:val="20"/>
                <w:szCs w:val="20"/>
              </w:rPr>
              <w:t>渠道</w:t>
            </w:r>
            <w:r>
              <w:rPr>
                <w:rFonts w:hint="eastAsia" w:ascii="方正黑体_GBK" w:hAnsi="方正黑体_GBK" w:eastAsia="方正黑体_GBK"/>
                <w:vanish w:val="0"/>
                <w:spacing w:val="10"/>
                <w:kern w:val="2"/>
                <w:sz w:val="20"/>
                <w:szCs w:val="20"/>
              </w:rPr>
              <w:t>所生成和保留记载的相关电子数据及交易记录以及南银理财、</w:t>
            </w:r>
            <w:r>
              <w:rPr>
                <w:rFonts w:hint="eastAsia" w:ascii="方正黑体_GBK" w:hAnsi="方正黑体_GBK" w:eastAsia="方正黑体_GBK" w:cs="Times New Roman"/>
                <w:vanish w:val="0"/>
                <w:spacing w:val="10"/>
                <w:kern w:val="2"/>
                <w:sz w:val="20"/>
                <w:szCs w:val="20"/>
              </w:rPr>
              <w:t>销售机构</w:t>
            </w:r>
            <w:r>
              <w:rPr>
                <w:rFonts w:hint="eastAsia" w:ascii="方正黑体_GBK" w:hAnsi="方正黑体_GBK" w:eastAsia="方正黑体_GBK"/>
                <w:vanish w:val="0"/>
                <w:spacing w:val="10"/>
                <w:kern w:val="2"/>
                <w:sz w:val="20"/>
                <w:szCs w:val="20"/>
              </w:rPr>
              <w:t>、托管机构制作或保留的相关电子及纸质单据、凭证、记录等相关资料</w:t>
            </w:r>
            <w:r>
              <w:rPr>
                <w:rFonts w:hint="eastAsia" w:ascii="方正黑体_GBK" w:hAnsi="方正黑体_GBK" w:eastAsia="方正黑体_GBK" w:cs="Times New Roman"/>
                <w:vanish w:val="0"/>
                <w:spacing w:val="10"/>
                <w:kern w:val="2"/>
                <w:sz w:val="20"/>
                <w:szCs w:val="20"/>
              </w:rPr>
              <w:t>，</w:t>
            </w:r>
            <w:r>
              <w:rPr>
                <w:rFonts w:hint="eastAsia" w:ascii="方正黑体_GBK" w:hAnsi="方正黑体_GBK" w:eastAsia="方正黑体_GBK"/>
                <w:vanish w:val="0"/>
                <w:spacing w:val="10"/>
                <w:kern w:val="2"/>
                <w:sz w:val="20"/>
                <w:szCs w:val="20"/>
              </w:rPr>
              <w:t>构成有效证明投资者与南银理财双方之间权利义务关系的确定证据，投资者无条件认可电子数据的有效性和证据效力。</w:t>
            </w:r>
          </w:p>
        </w:tc>
      </w:tr>
    </w:tbl>
    <w:p w14:paraId="0FD0DFEE">
      <w:pPr>
        <w:spacing w:line="240" w:lineRule="auto"/>
        <w:rPr>
          <w:sz w:val="28"/>
          <w:szCs w:val="28"/>
        </w:rPr>
      </w:pPr>
      <w:r>
        <w:rPr>
          <w:rFonts w:ascii="方正黑体_GBK" w:hAnsi="方正黑体_GBK" w:eastAsia="方正黑体_GBK"/>
          <w:sz w:val="28"/>
          <w:szCs w:val="28"/>
        </w:rPr>
        <w:br w:type="page"/>
      </w:r>
    </w:p>
    <w:p w14:paraId="3AD9A2BA">
      <w:pPr>
        <w:pStyle w:val="29"/>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center"/>
        <w:textAlignment w:val="auto"/>
        <w:outlineLvl w:val="9"/>
        <w:rPr>
          <w:rFonts w:ascii="方正黑体_GBK" w:hAnsi="方正黑体_GBK" w:eastAsia="方正黑体_GBK"/>
          <w:b/>
          <w:bCs/>
          <w:caps w:val="0"/>
          <w:smallCaps w:val="0"/>
          <w:snapToGrid/>
          <w:vanish w:val="0"/>
          <w:color w:val="auto"/>
          <w:kern w:val="0"/>
          <w:sz w:val="36"/>
          <w:szCs w:val="36"/>
          <w:vertAlign w:val="baseline"/>
        </w:rPr>
      </w:pPr>
      <w:r>
        <w:rPr>
          <w:rFonts w:ascii="方正黑体_GBK" w:hAnsi="方正黑体_GBK" w:eastAsia="方正黑体_GBK"/>
          <w:b/>
          <w:bCs/>
          <w:caps w:val="0"/>
          <w:smallCaps w:val="0"/>
          <w:snapToGrid/>
          <w:vanish w:val="0"/>
          <w:color w:val="auto"/>
          <w:kern w:val="0"/>
          <w:sz w:val="36"/>
          <w:szCs w:val="20"/>
          <w:vertAlign w:val="baseline"/>
        </w:rPr>
        <w:t xml:space="preserve"> </w:t>
      </w:r>
      <w:r>
        <w:rPr>
          <w:rFonts w:hint="eastAsia" w:ascii="方正黑体_GBK" w:hAnsi="方正黑体_GBK" w:eastAsia="方正黑体_GBK"/>
          <w:b/>
          <w:bCs/>
          <w:caps w:val="0"/>
          <w:smallCaps w:val="0"/>
          <w:snapToGrid/>
          <w:vanish w:val="0"/>
          <w:color w:val="auto"/>
          <w:kern w:val="0"/>
          <w:sz w:val="36"/>
          <w:szCs w:val="36"/>
          <w:vertAlign w:val="baseline"/>
        </w:rPr>
        <w:t>理财产品说明书</w:t>
      </w:r>
    </w:p>
    <w:p w14:paraId="599A9E5B">
      <w:pPr>
        <w:pStyle w:val="29"/>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center"/>
        <w:textAlignment w:val="auto"/>
        <w:outlineLvl w:val="9"/>
        <w:rPr>
          <w:rFonts w:ascii="方正黑体_GBK" w:hAnsi="方正黑体_GBK" w:eastAsia="方正黑体_GBK"/>
          <w:b/>
          <w:bCs/>
          <w:i/>
          <w:iCs/>
          <w:caps w:val="0"/>
          <w:smallCaps w:val="0"/>
          <w:snapToGrid/>
          <w:vanish w:val="0"/>
          <w:color w:val="auto"/>
          <w:kern w:val="0"/>
          <w:sz w:val="36"/>
          <w:szCs w:val="36"/>
          <w:u w:val="single"/>
          <w:vertAlign w:val="baseline"/>
        </w:rPr>
      </w:pPr>
      <w:r>
        <w:rPr>
          <w:rFonts w:ascii="方正黑体_GBK" w:hAnsi="方正黑体_GBK" w:eastAsia="方正黑体_GBK"/>
          <w:b/>
          <w:bCs/>
          <w:i/>
          <w:iCs/>
          <w:caps w:val="0"/>
          <w:smallCaps w:val="0"/>
          <w:snapToGrid/>
          <w:vanish w:val="0"/>
          <w:color w:val="auto"/>
          <w:kern w:val="0"/>
          <w:sz w:val="36"/>
          <w:szCs w:val="36"/>
          <w:u w:val="single"/>
          <w:vertAlign w:val="baseline"/>
        </w:rPr>
        <w:t>“</w:t>
      </w:r>
      <w:r>
        <w:rPr>
          <w:rFonts w:hint="eastAsia" w:ascii="方正黑体_GBK" w:hAnsi="方正黑体_GBK" w:eastAsia="方正黑体_GBK"/>
          <w:b/>
          <w:bCs/>
          <w:i/>
          <w:iCs/>
          <w:caps w:val="0"/>
          <w:smallCaps w:val="0"/>
          <w:snapToGrid/>
          <w:vanish w:val="0"/>
          <w:color w:val="auto"/>
          <w:kern w:val="0"/>
          <w:sz w:val="36"/>
          <w:szCs w:val="36"/>
          <w:u w:val="single"/>
          <w:vertAlign w:val="baseline"/>
        </w:rPr>
        <w:t>理财非存款、产品有风险、投资须谨慎</w:t>
      </w:r>
      <w:r>
        <w:rPr>
          <w:rFonts w:ascii="方正黑体_GBK" w:hAnsi="方正黑体_GBK" w:eastAsia="方正黑体_GBK"/>
          <w:b/>
          <w:bCs/>
          <w:i/>
          <w:iCs/>
          <w:caps w:val="0"/>
          <w:smallCaps w:val="0"/>
          <w:snapToGrid/>
          <w:vanish w:val="0"/>
          <w:color w:val="auto"/>
          <w:kern w:val="0"/>
          <w:sz w:val="36"/>
          <w:szCs w:val="36"/>
          <w:u w:val="single"/>
          <w:vertAlign w:val="baseline"/>
        </w:rPr>
        <w:t>”</w:t>
      </w:r>
      <w:r>
        <w:rPr>
          <w:rFonts w:hint="eastAsia" w:ascii="方正黑体_GBK" w:hAnsi="方正黑体_GBK" w:eastAsia="方正黑体_GBK"/>
          <w:b/>
          <w:bCs/>
          <w:i/>
          <w:iCs/>
          <w:caps w:val="0"/>
          <w:smallCaps w:val="0"/>
          <w:snapToGrid/>
          <w:vanish w:val="0"/>
          <w:color w:val="auto"/>
          <w:kern w:val="0"/>
          <w:sz w:val="36"/>
          <w:szCs w:val="36"/>
          <w:u w:val="single"/>
          <w:vertAlign w:val="baseline"/>
        </w:rPr>
        <w:t>！</w:t>
      </w:r>
    </w:p>
    <w:p w14:paraId="5C366A12">
      <w:pPr>
        <w:pStyle w:val="42"/>
        <w:keepNext w:val="0"/>
        <w:keepLines w:val="0"/>
        <w:pageBreakBefore w:val="0"/>
        <w:widowControl/>
        <w:suppressLineNumbers w:val="0"/>
        <w:suppressAutoHyphens w:val="0"/>
        <w:spacing w:line="240" w:lineRule="auto"/>
        <w:ind w:firstLine="0"/>
        <w:jc w:val="both"/>
        <w:textAlignment w:val="baseline"/>
        <w:rPr>
          <w:rFonts w:ascii="方正黑体_GBK" w:hAnsi="方正黑体_GBK" w:eastAsia="方正黑体_GBK"/>
          <w:b/>
          <w:bCs w:val="0"/>
          <w:caps w:val="0"/>
          <w:smallCaps w:val="0"/>
          <w:snapToGrid/>
          <w:vanish w:val="0"/>
          <w:color w:val="3D3D3D"/>
          <w:kern w:val="0"/>
          <w:sz w:val="20"/>
          <w:szCs w:val="20"/>
          <w:vertAlign w:val="baseline"/>
        </w:rPr>
      </w:pPr>
      <w:r>
        <w:rPr>
          <w:rFonts w:hint="eastAsia" w:ascii="方正黑体_GBK" w:hAnsi="方正黑体_GBK" w:eastAsia="方正黑体_GBK"/>
          <w:b/>
          <w:bCs w:val="0"/>
          <w:caps w:val="0"/>
          <w:smallCaps w:val="0"/>
          <w:snapToGrid/>
          <w:vanish w:val="0"/>
          <w:color w:val="3D3D3D"/>
          <w:kern w:val="0"/>
          <w:sz w:val="20"/>
          <w:szCs w:val="20"/>
          <w:vertAlign w:val="baseline"/>
        </w:rPr>
        <w:t>第一条</w:t>
      </w:r>
      <w:r>
        <w:rPr>
          <w:rFonts w:ascii="方正黑体_GBK" w:hAnsi="方正黑体_GBK" w:eastAsia="方正黑体_GBK" w:cs="Times New Roman"/>
          <w:b/>
          <w:bCs w:val="0"/>
          <w:caps w:val="0"/>
          <w:smallCaps w:val="0"/>
          <w:snapToGrid/>
          <w:vanish w:val="0"/>
          <w:color w:val="3D3D3D"/>
          <w:kern w:val="0"/>
          <w:sz w:val="20"/>
          <w:szCs w:val="20"/>
          <w:vertAlign w:val="baseline"/>
        </w:rPr>
        <w:t xml:space="preserve">  </w:t>
      </w:r>
      <w:r>
        <w:rPr>
          <w:rFonts w:hint="eastAsia" w:ascii="方正黑体_GBK" w:hAnsi="方正黑体_GBK" w:eastAsia="方正黑体_GBK"/>
          <w:b/>
          <w:bCs w:val="0"/>
          <w:caps w:val="0"/>
          <w:smallCaps w:val="0"/>
          <w:snapToGrid/>
          <w:vanish w:val="0"/>
          <w:color w:val="3D3D3D"/>
          <w:kern w:val="0"/>
          <w:sz w:val="20"/>
          <w:szCs w:val="20"/>
          <w:vertAlign w:val="baseline"/>
        </w:rPr>
        <w:t>产品基本要素</w:t>
      </w:r>
    </w:p>
    <w:tbl>
      <w:tblPr>
        <w:tblStyle w:val="12"/>
        <w:tblW w:w="7815" w:type="dxa"/>
        <w:jc w:val="center"/>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57" w:type="dxa"/>
          <w:left w:w="108" w:type="dxa"/>
          <w:bottom w:w="57" w:type="dxa"/>
          <w:right w:w="108" w:type="dxa"/>
        </w:tblCellMar>
      </w:tblPr>
      <w:tblGrid>
        <w:gridCol w:w="2272"/>
        <w:gridCol w:w="5543"/>
      </w:tblGrid>
      <w:tr w14:paraId="32684807">
        <w:trPr>
          <w:trHeight w:val="340" w:hRule="atLeast"/>
          <w:jc w:val="center"/>
          <w:hidden/>
        </w:trPr>
        <w:tc>
          <w:tcPr>
            <w:tcW w:w="2272" w:type="dxa"/>
            <w:tcBorders>
              <w:top w:val="single" w:color="auto" w:sz="4" w:space="0"/>
              <w:left w:val="single" w:color="auto" w:sz="4" w:space="0"/>
              <w:bottom w:val="single" w:color="auto" w:sz="2" w:space="0"/>
              <w:right w:val="single" w:color="auto" w:sz="4" w:space="0"/>
              <w:tl2br w:val="nil"/>
              <w:tr2bl w:val="nil"/>
            </w:tcBorders>
            <w:vAlign w:val="center"/>
          </w:tcPr>
          <w:p w14:paraId="2B56FF9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产品名称</w:t>
            </w:r>
          </w:p>
        </w:tc>
        <w:tc>
          <w:tcPr>
            <w:tcW w:w="5543" w:type="dxa"/>
            <w:tcBorders>
              <w:top w:val="single" w:color="auto" w:sz="4" w:space="0"/>
              <w:left w:val="nil"/>
              <w:bottom w:val="single" w:color="auto" w:sz="2" w:space="0"/>
              <w:right w:val="single" w:color="auto" w:sz="4" w:space="0"/>
              <w:tl2br w:val="nil"/>
              <w:tr2bl w:val="nil"/>
            </w:tcBorders>
            <w:vAlign w:val="center"/>
          </w:tcPr>
          <w:p w14:paraId="345246B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hint="eastAsia"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南银理财珠联璧合鑫逸稳三个月147期封闭式公募人民币理财产品</w:t>
            </w:r>
          </w:p>
        </w:tc>
      </w:tr>
      <w:tr w14:paraId="463B61D0">
        <w:trPr>
          <w:trHeight w:val="340" w:hRule="atLeast"/>
          <w:jc w:val="center"/>
          <w:hidden/>
        </w:trPr>
        <w:tc>
          <w:tcPr>
            <w:tcW w:w="2272" w:type="dxa"/>
            <w:tcBorders>
              <w:top w:val="single" w:color="auto" w:sz="2" w:space="0"/>
              <w:left w:val="single" w:color="auto" w:sz="2" w:space="0"/>
              <w:bottom w:val="single" w:color="auto" w:sz="2" w:space="0"/>
              <w:right w:val="single" w:color="auto" w:sz="2" w:space="0"/>
            </w:tcBorders>
            <w:vAlign w:val="center"/>
          </w:tcPr>
          <w:p w14:paraId="719DC74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产品类型</w:t>
            </w:r>
          </w:p>
        </w:tc>
        <w:tc>
          <w:tcPr>
            <w:tcW w:w="5543" w:type="dxa"/>
            <w:tcBorders>
              <w:top w:val="single" w:color="auto" w:sz="2" w:space="0"/>
              <w:left w:val="single" w:color="auto" w:sz="2" w:space="0"/>
              <w:bottom w:val="single" w:color="auto" w:sz="2" w:space="0"/>
              <w:right w:val="single" w:color="auto" w:sz="2" w:space="0"/>
            </w:tcBorders>
            <w:vAlign w:val="center"/>
          </w:tcPr>
          <w:p w14:paraId="459262B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hint="eastAsia"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封闭式、固定收益类、公募、净值型</w:t>
            </w:r>
          </w:p>
        </w:tc>
      </w:tr>
      <w:tr w14:paraId="722D36D3">
        <w:trPr>
          <w:trHeight w:val="340" w:hRule="atLeast"/>
          <w:jc w:val="center"/>
          <w:hidden/>
        </w:trPr>
        <w:tc>
          <w:tcPr>
            <w:tcW w:w="2272" w:type="dxa"/>
            <w:tcBorders>
              <w:top w:val="single" w:color="auto" w:sz="2" w:space="0"/>
              <w:left w:val="single" w:color="auto" w:sz="2" w:space="0"/>
              <w:bottom w:val="single" w:color="auto" w:sz="2" w:space="0"/>
              <w:right w:val="single" w:color="auto" w:sz="2" w:space="0"/>
            </w:tcBorders>
            <w:vAlign w:val="center"/>
          </w:tcPr>
          <w:p w14:paraId="044D568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募集方式</w:t>
            </w:r>
          </w:p>
        </w:tc>
        <w:tc>
          <w:tcPr>
            <w:tcW w:w="5543" w:type="dxa"/>
            <w:tcBorders>
              <w:top w:val="single" w:color="auto" w:sz="2" w:space="0"/>
              <w:left w:val="single" w:color="auto" w:sz="2" w:space="0"/>
              <w:bottom w:val="single" w:color="auto" w:sz="2" w:space="0"/>
              <w:right w:val="single" w:color="auto" w:sz="2" w:space="0"/>
            </w:tcBorders>
            <w:vAlign w:val="center"/>
          </w:tcPr>
          <w:p w14:paraId="0F21B51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hint="eastAsia"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公开募集</w:t>
            </w:r>
          </w:p>
        </w:tc>
      </w:tr>
      <w:tr w14:paraId="12FCCEB0">
        <w:trPr>
          <w:trHeight w:val="340" w:hRule="atLeast"/>
          <w:jc w:val="center"/>
          <w:hidden/>
        </w:trPr>
        <w:tc>
          <w:tcPr>
            <w:tcW w:w="2272" w:type="dxa"/>
            <w:tcBorders>
              <w:top w:val="single" w:color="auto" w:sz="2" w:space="0"/>
              <w:left w:val="single" w:color="auto" w:sz="4" w:space="0"/>
              <w:bottom w:val="single" w:color="auto" w:sz="4" w:space="0"/>
              <w:right w:val="single" w:color="auto" w:sz="4" w:space="0"/>
              <w:tl2br w:val="nil"/>
              <w:tr2bl w:val="nil"/>
            </w:tcBorders>
            <w:vAlign w:val="center"/>
          </w:tcPr>
          <w:p w14:paraId="297DCA0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理财产品代码</w:t>
            </w:r>
          </w:p>
        </w:tc>
        <w:tc>
          <w:tcPr>
            <w:tcW w:w="5543" w:type="dxa"/>
            <w:tcBorders>
              <w:top w:val="single" w:color="auto" w:sz="2" w:space="0"/>
              <w:left w:val="nil"/>
              <w:bottom w:val="single" w:color="auto" w:sz="4" w:space="0"/>
              <w:right w:val="single" w:color="auto" w:sz="4" w:space="0"/>
              <w:tl2br w:val="nil"/>
              <w:tr2bl w:val="nil"/>
            </w:tcBorders>
            <w:vAlign w:val="center"/>
          </w:tcPr>
          <w:p w14:paraId="40DF9FC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hint="eastAsia"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ZZ700322600249</w:t>
            </w:r>
          </w:p>
        </w:tc>
      </w:tr>
      <w:tr w14:paraId="7E1CD19A">
        <w:trPr>
          <w:trHeight w:val="425"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66E26DF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产品登记编码</w:t>
            </w:r>
          </w:p>
        </w:tc>
        <w:tc>
          <w:tcPr>
            <w:tcW w:w="5543" w:type="dxa"/>
            <w:tcBorders>
              <w:top w:val="single" w:color="auto" w:sz="4" w:space="0"/>
              <w:left w:val="nil"/>
              <w:bottom w:val="single" w:color="auto" w:sz="4" w:space="0"/>
              <w:right w:val="single" w:color="auto" w:sz="4" w:space="0"/>
              <w:tl2br w:val="nil"/>
              <w:tr2bl w:val="nil"/>
            </w:tcBorders>
            <w:vAlign w:val="center"/>
          </w:tcPr>
          <w:p w14:paraId="3E3A591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s="宋体"/>
                <w:caps w:val="0"/>
                <w:smallCaps w:val="0"/>
                <w:snapToGrid/>
                <w:vanish w:val="0"/>
                <w:color w:val="auto"/>
                <w:kern w:val="0"/>
                <w:sz w:val="22"/>
                <w:szCs w:val="22"/>
                <w:vertAlign w:val="baseline"/>
              </w:rPr>
              <w:t>Z7003226000239(投资者可依据该编码在中国理财网www.chinawealth.com.cn查询理财产品相关信息）</w:t>
            </w:r>
          </w:p>
        </w:tc>
      </w:tr>
      <w:tr w14:paraId="6A07FF6D">
        <w:trPr>
          <w:trHeight w:val="340"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432D76B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内部销售代码</w:t>
            </w:r>
          </w:p>
        </w:tc>
        <w:tc>
          <w:tcPr>
            <w:tcW w:w="5543" w:type="dxa"/>
            <w:tcBorders>
              <w:top w:val="single" w:color="auto" w:sz="4" w:space="0"/>
              <w:left w:val="nil"/>
              <w:bottom w:val="single" w:color="auto" w:sz="4" w:space="0"/>
              <w:right w:val="single" w:color="auto" w:sz="4" w:space="0"/>
              <w:tl2br w:val="nil"/>
              <w:tr2bl w:val="nil"/>
            </w:tcBorders>
            <w:vAlign w:val="center"/>
          </w:tcPr>
          <w:p w14:paraId="6957724D">
            <w:pPr>
              <w:spacing w:line="240" w:lineRule="auto"/>
              <w:rPr>
                <w:sz w:val="28"/>
                <w:szCs w:val="28"/>
              </w:rPr>
            </w:pPr>
            <w:r>
              <w:rPr>
                <w:rFonts w:ascii="方正黑体_GBK" w:hAnsi="方正黑体_GBK" w:eastAsia="方正黑体_GBK" w:cs="宋体"/>
                <w:sz w:val="22"/>
                <w:szCs w:val="22"/>
              </w:rPr>
              <w:t>A份额：NYXY001310</w:t>
            </w:r>
          </w:p>
          <w:p w14:paraId="6F4DA19B">
            <w:pPr>
              <w:spacing w:line="240" w:lineRule="auto"/>
              <w:rPr>
                <w:sz w:val="28"/>
                <w:szCs w:val="28"/>
              </w:rPr>
            </w:pPr>
            <w:r>
              <w:rPr>
                <w:rFonts w:ascii="方正黑体_GBK" w:hAnsi="方正黑体_GBK" w:eastAsia="方正黑体_GBK" w:cs="宋体"/>
                <w:sz w:val="22"/>
                <w:szCs w:val="22"/>
              </w:rPr>
              <w:t>B份额：NYXY001311</w:t>
            </w:r>
          </w:p>
          <w:p w14:paraId="1CBB2D9F">
            <w:pPr>
              <w:spacing w:line="240" w:lineRule="auto"/>
              <w:rPr>
                <w:sz w:val="28"/>
                <w:szCs w:val="28"/>
              </w:rPr>
            </w:pPr>
            <w:r>
              <w:rPr>
                <w:rFonts w:ascii="方正黑体_GBK" w:hAnsi="方正黑体_GBK" w:eastAsia="方正黑体_GBK" w:cs="宋体"/>
                <w:sz w:val="22"/>
                <w:szCs w:val="22"/>
              </w:rPr>
              <w:t>C份额：NYXY001312</w:t>
            </w:r>
          </w:p>
          <w:p w14:paraId="4E17CDF5">
            <w:pPr>
              <w:spacing w:line="240" w:lineRule="auto"/>
              <w:rPr>
                <w:sz w:val="28"/>
                <w:szCs w:val="28"/>
              </w:rPr>
            </w:pPr>
            <w:r>
              <w:rPr>
                <w:rFonts w:ascii="方正黑体_GBK" w:hAnsi="方正黑体_GBK" w:eastAsia="方正黑体_GBK" w:cs="宋体"/>
                <w:sz w:val="22"/>
                <w:szCs w:val="22"/>
              </w:rPr>
              <w:t>E份额：NYXY001313</w:t>
            </w:r>
          </w:p>
          <w:p w14:paraId="6FC10A0A">
            <w:pPr>
              <w:spacing w:line="240" w:lineRule="auto"/>
              <w:rPr>
                <w:sz w:val="28"/>
                <w:szCs w:val="28"/>
              </w:rPr>
            </w:pPr>
            <w:r>
              <w:rPr>
                <w:rFonts w:ascii="方正黑体_GBK" w:hAnsi="方正黑体_GBK" w:eastAsia="方正黑体_GBK" w:cs="宋体"/>
                <w:sz w:val="22"/>
                <w:szCs w:val="22"/>
              </w:rPr>
              <w:t>J份额：NYXY001314</w:t>
            </w:r>
          </w:p>
          <w:p w14:paraId="22A892EB">
            <w:pPr>
              <w:spacing w:line="240" w:lineRule="auto"/>
              <w:rPr>
                <w:sz w:val="28"/>
                <w:szCs w:val="28"/>
              </w:rPr>
            </w:pPr>
            <w:r>
              <w:rPr>
                <w:rFonts w:ascii="方正黑体_GBK" w:hAnsi="方正黑体_GBK" w:eastAsia="方正黑体_GBK" w:cs="宋体"/>
                <w:sz w:val="22"/>
                <w:szCs w:val="22"/>
              </w:rPr>
              <w:t>K份额：NYXY001315</w:t>
            </w:r>
          </w:p>
          <w:p w14:paraId="02530273">
            <w:pPr>
              <w:spacing w:line="240" w:lineRule="auto"/>
              <w:rPr>
                <w:sz w:val="28"/>
                <w:szCs w:val="28"/>
              </w:rPr>
            </w:pPr>
            <w:r>
              <w:rPr>
                <w:rFonts w:ascii="方正黑体_GBK" w:hAnsi="方正黑体_GBK" w:eastAsia="方正黑体_GBK" w:cs="宋体"/>
                <w:sz w:val="22"/>
                <w:szCs w:val="22"/>
              </w:rPr>
              <w:t>L份额：NYXY001316</w:t>
            </w:r>
          </w:p>
          <w:p w14:paraId="0FBAC7EB">
            <w:pPr>
              <w:spacing w:line="240" w:lineRule="auto"/>
              <w:rPr>
                <w:sz w:val="28"/>
                <w:szCs w:val="28"/>
              </w:rPr>
            </w:pPr>
            <w:r>
              <w:rPr>
                <w:rFonts w:ascii="方正黑体_GBK" w:hAnsi="方正黑体_GBK" w:eastAsia="方正黑体_GBK" w:cs="宋体"/>
                <w:sz w:val="22"/>
                <w:szCs w:val="22"/>
              </w:rPr>
              <w:t>N份额：NYXY001826</w:t>
            </w:r>
          </w:p>
          <w:p w14:paraId="0C8E8DB8">
            <w:pPr>
              <w:spacing w:line="240" w:lineRule="auto"/>
              <w:rPr>
                <w:sz w:val="28"/>
                <w:szCs w:val="28"/>
              </w:rPr>
            </w:pPr>
            <w:r>
              <w:rPr>
                <w:rFonts w:ascii="方正黑体_GBK" w:hAnsi="方正黑体_GBK" w:eastAsia="方正黑体_GBK" w:cs="宋体"/>
                <w:sz w:val="22"/>
                <w:szCs w:val="22"/>
              </w:rPr>
              <w:t>O份额：NYXY001827</w:t>
            </w:r>
          </w:p>
          <w:p w14:paraId="689C1549">
            <w:pPr>
              <w:spacing w:line="240" w:lineRule="auto"/>
              <w:rPr>
                <w:sz w:val="28"/>
                <w:szCs w:val="28"/>
              </w:rPr>
            </w:pPr>
            <w:r>
              <w:rPr>
                <w:rFonts w:ascii="方正黑体_GBK" w:hAnsi="方正黑体_GBK" w:eastAsia="方正黑体_GBK" w:cs="宋体"/>
                <w:sz w:val="22"/>
                <w:szCs w:val="22"/>
              </w:rPr>
              <w:t>A2份额：NYXY001828</w:t>
            </w:r>
          </w:p>
          <w:p w14:paraId="39A51B75">
            <w:pPr>
              <w:spacing w:line="240" w:lineRule="auto"/>
              <w:rPr>
                <w:sz w:val="28"/>
                <w:szCs w:val="28"/>
              </w:rPr>
            </w:pPr>
            <w:r>
              <w:rPr>
                <w:rFonts w:ascii="方正黑体_GBK" w:hAnsi="方正黑体_GBK" w:eastAsia="方正黑体_GBK" w:cs="宋体"/>
                <w:b/>
                <w:sz w:val="22"/>
                <w:szCs w:val="22"/>
              </w:rPr>
              <w:t>注：本产品不同份额针对不同的销售机构及客群进行销售，设置有不同的销售费和管理费。</w:t>
            </w:r>
          </w:p>
        </w:tc>
      </w:tr>
      <w:tr w14:paraId="4FB97EDE">
        <w:trPr>
          <w:trHeight w:val="340"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0C32C4A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销售区域</w:t>
            </w:r>
          </w:p>
        </w:tc>
        <w:tc>
          <w:tcPr>
            <w:tcW w:w="5543" w:type="dxa"/>
            <w:tcBorders>
              <w:top w:val="single" w:color="auto" w:sz="4" w:space="0"/>
              <w:left w:val="nil"/>
              <w:bottom w:val="single" w:color="auto" w:sz="4" w:space="0"/>
              <w:right w:val="single" w:color="auto" w:sz="4" w:space="0"/>
              <w:tl2br w:val="nil"/>
              <w:tr2bl w:val="nil"/>
            </w:tcBorders>
            <w:vAlign w:val="center"/>
          </w:tcPr>
          <w:p w14:paraId="62AB2E9E">
            <w:pPr>
              <w:spacing w:line="240" w:lineRule="auto"/>
              <w:rPr>
                <w:sz w:val="28"/>
                <w:szCs w:val="28"/>
              </w:rPr>
            </w:pPr>
            <w:r>
              <w:rPr>
                <w:rFonts w:ascii="方正黑体_GBK" w:hAnsi="方正黑体_GBK" w:eastAsia="方正黑体_GBK" w:cs="宋体"/>
                <w:sz w:val="22"/>
                <w:szCs w:val="22"/>
              </w:rPr>
              <w:t>全国</w:t>
            </w:r>
          </w:p>
        </w:tc>
      </w:tr>
      <w:tr w14:paraId="07353F40">
        <w:trPr>
          <w:trHeight w:val="340"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120342B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币种</w:t>
            </w:r>
          </w:p>
        </w:tc>
        <w:tc>
          <w:tcPr>
            <w:tcW w:w="5543" w:type="dxa"/>
            <w:tcBorders>
              <w:top w:val="single" w:color="auto" w:sz="4" w:space="0"/>
              <w:left w:val="nil"/>
              <w:bottom w:val="single" w:color="auto" w:sz="4" w:space="0"/>
              <w:right w:val="single" w:color="auto" w:sz="4" w:space="0"/>
              <w:tl2br w:val="nil"/>
              <w:tr2bl w:val="nil"/>
            </w:tcBorders>
            <w:vAlign w:val="center"/>
          </w:tcPr>
          <w:p w14:paraId="317FA19B">
            <w:pPr>
              <w:keepNext w:val="0"/>
              <w:keepLines w:val="0"/>
              <w:pageBreakBefore w:val="0"/>
              <w:widowControl/>
              <w:suppressLineNumbers w:val="0"/>
              <w:suppressAutoHyphens w:val="0"/>
              <w:kinsoku/>
              <w:wordWrap/>
              <w:overflowPunct/>
              <w:topLinePunct w:val="0"/>
              <w:autoSpaceDE/>
              <w:autoSpaceDN/>
              <w:bidi w:val="0"/>
              <w:adjustRightInd/>
              <w:snapToGrid/>
              <w:spacing w:line="240" w:lineRule="auto"/>
              <w:ind w:left="0" w:firstLine="0"/>
              <w:contextualSpacing w:val="0"/>
              <w:jc w:val="left"/>
              <w:textAlignment w:val="center"/>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kern w:val="0"/>
                <w:sz w:val="22"/>
                <w:szCs w:val="22"/>
              </w:rPr>
              <w:t>人民币</w:t>
            </w:r>
          </w:p>
        </w:tc>
      </w:tr>
      <w:tr w14:paraId="0062DD57">
        <w:trPr>
          <w:trHeight w:val="50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1410BD2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产品规模</w:t>
            </w:r>
          </w:p>
        </w:tc>
        <w:tc>
          <w:tcPr>
            <w:tcW w:w="5543" w:type="dxa"/>
            <w:tcBorders>
              <w:top w:val="single" w:color="auto" w:sz="4" w:space="0"/>
              <w:left w:val="nil"/>
              <w:bottom w:val="single" w:color="auto" w:sz="4" w:space="0"/>
              <w:right w:val="single" w:color="auto" w:sz="4" w:space="0"/>
              <w:tl2br w:val="nil"/>
              <w:tr2bl w:val="nil"/>
            </w:tcBorders>
            <w:vAlign w:val="center"/>
          </w:tcPr>
          <w:p w14:paraId="45EE9BA5">
            <w:pPr>
              <w:spacing w:line="240" w:lineRule="auto"/>
              <w:rPr>
                <w:sz w:val="28"/>
                <w:szCs w:val="28"/>
              </w:rPr>
            </w:pPr>
            <w:r>
              <w:rPr>
                <w:rFonts w:ascii="方正黑体_GBK" w:hAnsi="方正黑体_GBK" w:eastAsia="方正黑体_GBK" w:cs="宋体"/>
                <w:sz w:val="22"/>
                <w:szCs w:val="22"/>
              </w:rPr>
              <w:t>本理财产品规模上限为100亿元。</w:t>
            </w:r>
          </w:p>
        </w:tc>
      </w:tr>
      <w:tr w14:paraId="45697FDA">
        <w:trPr>
          <w:trHeight w:val="50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699733A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风险等级</w:t>
            </w:r>
          </w:p>
        </w:tc>
        <w:tc>
          <w:tcPr>
            <w:tcW w:w="5543" w:type="dxa"/>
            <w:tcBorders>
              <w:top w:val="single" w:color="auto" w:sz="4" w:space="0"/>
              <w:left w:val="nil"/>
              <w:bottom w:val="single" w:color="auto" w:sz="4" w:space="0"/>
              <w:right w:val="single" w:color="auto" w:sz="4" w:space="0"/>
              <w:tl2br w:val="nil"/>
              <w:tr2bl w:val="nil"/>
            </w:tcBorders>
            <w:vAlign w:val="center"/>
          </w:tcPr>
          <w:p w14:paraId="6074EB68">
            <w:pPr>
              <w:spacing w:line="240" w:lineRule="auto"/>
              <w:rPr>
                <w:sz w:val="28"/>
                <w:szCs w:val="28"/>
              </w:rPr>
            </w:pPr>
            <w:r>
              <w:rPr>
                <w:rFonts w:ascii="方正黑体_GBK" w:hAnsi="方正黑体_GBK" w:eastAsia="方正黑体_GBK" w:cs="宋体"/>
                <w:sz w:val="22"/>
                <w:szCs w:val="22"/>
              </w:rPr>
              <w:t>根据理财产品管理人对理财产品的内部风险评估，本理财产品风险等级为</w:t>
            </w:r>
            <w:r>
              <w:rPr>
                <w:rFonts w:ascii="方正黑体_GBK" w:hAnsi="方正黑体_GBK" w:eastAsia="方正黑体_GBK" w:cs="宋体"/>
                <w:b/>
                <w:sz w:val="22"/>
                <w:szCs w:val="22"/>
              </w:rPr>
              <w:t>中低风险</w:t>
            </w:r>
            <w:r>
              <w:rPr>
                <w:rFonts w:ascii="方正黑体_GBK" w:hAnsi="方正黑体_GBK" w:eastAsia="方正黑体_GBK" w:cs="宋体"/>
                <w:sz w:val="22"/>
                <w:szCs w:val="22"/>
              </w:rPr>
              <w:t>（本风险等级为管理人内部风险评估结果，仅供参考）。</w:t>
            </w:r>
          </w:p>
          <w:p w14:paraId="729D2DAA">
            <w:pPr>
              <w:spacing w:line="240" w:lineRule="auto"/>
              <w:rPr>
                <w:sz w:val="28"/>
                <w:szCs w:val="28"/>
              </w:rPr>
            </w:pPr>
            <w:r>
              <w:rPr>
                <w:rFonts w:ascii="方正黑体_GBK" w:hAnsi="方正黑体_GBK" w:eastAsia="方正黑体_GBK" w:cs="宋体"/>
                <w:sz w:val="22"/>
                <w:szCs w:val="22"/>
              </w:rPr>
              <w:t>代销机构应当设置科学合理的理财产品风险评级的方式和方法，对理财产品进行评级；该产品通过代销机构渠道销售的，理财产品评级应当以代销机构最终披露的评级结果为准。</w:t>
            </w:r>
          </w:p>
        </w:tc>
      </w:tr>
      <w:tr w14:paraId="71AF78BF">
        <w:trPr>
          <w:trHeight w:val="434"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7AF88D9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发行对象</w:t>
            </w:r>
          </w:p>
        </w:tc>
        <w:tc>
          <w:tcPr>
            <w:tcW w:w="5543" w:type="dxa"/>
            <w:tcBorders>
              <w:top w:val="single" w:color="auto" w:sz="4" w:space="0"/>
              <w:left w:val="nil"/>
              <w:bottom w:val="single" w:color="auto" w:sz="4" w:space="0"/>
              <w:right w:val="single" w:color="auto" w:sz="4" w:space="0"/>
              <w:tl2br w:val="nil"/>
              <w:tr2bl w:val="nil"/>
            </w:tcBorders>
            <w:vAlign w:val="center"/>
          </w:tcPr>
          <w:p w14:paraId="3870A18C">
            <w:pPr>
              <w:spacing w:line="240" w:lineRule="auto"/>
              <w:rPr>
                <w:sz w:val="28"/>
                <w:szCs w:val="28"/>
              </w:rPr>
            </w:pPr>
            <w:r>
              <w:rPr>
                <w:rFonts w:ascii="方正黑体_GBK" w:hAnsi="方正黑体_GBK" w:eastAsia="方正黑体_GBK" w:cs="宋体"/>
                <w:color w:val="000000"/>
                <w:sz w:val="22"/>
                <w:szCs w:val="22"/>
              </w:rPr>
              <w:t>符合相关法律法规、监管规定要求的，经销售机构的风险承受能力评估体系评定为适合的个人和机构投资者。</w:t>
            </w:r>
          </w:p>
          <w:p w14:paraId="67D696BF">
            <w:pPr>
              <w:spacing w:line="240" w:lineRule="auto"/>
              <w:rPr>
                <w:sz w:val="28"/>
                <w:szCs w:val="28"/>
              </w:rPr>
            </w:pPr>
            <w:r>
              <w:rPr>
                <w:rFonts w:ascii="方正黑体_GBK" w:hAnsi="方正黑体_GBK" w:eastAsia="方正黑体_GBK" w:cs="宋体"/>
                <w:sz w:val="22"/>
                <w:szCs w:val="22"/>
              </w:rPr>
              <w:t>A份额：南银理财有限责任公司、南京银行股份有限公司（除新客、新资金、代发及对公客户外的其他客户）、北京农村商业银行股份有限公司、青岛银行股份有限公司（除私行客户外的其他客户）、河北银行股份有限公司（除分行财富客户外的其他客户）、江苏常熟农村商业银行股份有限公司（1元起购）、江苏苏州农村商业银行股份有限公司、金华银行股份有限公司、江苏江南农村商业银行股份有限公司（除财富、代发薪客户和新资金客户外的其他客户）、广州农村商业银行股份有限公司、苏州银行股份有限公司、无锡农村商业银行股份有限公司、福建海峡银行股份有限公司、齐鲁银行股份有限公司（除白金/私行客户、财富客户外的其他客户）、北京银行股份有限公司、贵阳银行股份有限公司、天津农村商业银行股份有限公司(除企业拓展客户、个人新客和私钻客户外的其他客户)、山西银行股份有限公司、德州银行股份有限公司、云南红塔银行股份有限公司、海南银行股份有限公司、乌鲁木齐银行股份有限公司、上海农村商业银行股份有限公司、湖州银行股份有限公司（除代发客户外的其他客户）、宁波通商银行股份有限公司、石嘴山银行股份有限公司、无锡锡商银行股份有限公司、江苏丹阳农村商业银行股份有限公司、江苏宜兴农村商业银行股份有限公司、江苏响水农村商业银行股份有限公司（1元起购）、江苏邳州农村商业银行股份有限公司、江苏民丰农村商业银行股份有限公司、江苏建湖农村商业银行股份有限公司、江苏东台农村商业银行股份有限公司、江苏溧水农村商业银行股份有限公司、江苏南通农村商业银行股份有限公司、江苏扬州农村商业银行股份有限公司、江苏淮安农村商业银行股份有限公司、江苏涟水农村商业银行股份有限公司、江苏镇江农村商业银行股份有限公司（1元起购）、江苏如皋农村商业银行股份有限公司、江苏宝应农村商业银行股份有限公司、徐州农村商业银行股份有限公司（除财富客户外的其他客户）、江苏金湖农村商业银行股份有限公司、江苏盱眙农村商业银行股份有限公司、江苏泗洪农村商业银行股份有限公司、江苏丰县农村商业银行股份有限公司、江苏泗阳农村商业银行股份有限公司、江苏东海农村商业银行股份有限公司、江苏赣榆农村商业银行股份有限公司、江苏高邮农村商业银行股份有限公司、江苏江阴农村商业银行股份有限公司、江苏姜堰农村商业银行股份有限公司（1元起购）、江苏仪征农村商业银行股份有限公司（1元起购）、江苏沭阳农村商业银行股份有限公司、连云港东方农村商业银行股份有限公司、江苏灌云农村商业银行股份有限公司、朝阳银行股份有限公司。</w:t>
            </w:r>
          </w:p>
          <w:p w14:paraId="6A562864">
            <w:pPr>
              <w:spacing w:line="240" w:lineRule="auto"/>
              <w:rPr>
                <w:sz w:val="28"/>
                <w:szCs w:val="28"/>
              </w:rPr>
            </w:pPr>
            <w:r>
              <w:rPr>
                <w:rFonts w:ascii="方正黑体_GBK" w:hAnsi="方正黑体_GBK" w:eastAsia="方正黑体_GBK" w:cs="宋体"/>
                <w:sz w:val="22"/>
                <w:szCs w:val="22"/>
              </w:rPr>
              <w:t>B份额：南京银行股份有限公司(新客或新资金或代发客户)、江苏太仓农村商业银行股份有限公司、青岛银行股份有限公司(私行客户)、温州银行股份有限公司、江苏张家港农村商业银行股份有限公司、河北银行股份有限公司(分行财富客户)、广州银行股份有限公司、江苏常熟农村商业银行股份有限公司（1万元起购）、江苏江南农村商业银行股份有限公司(财富客户)、长安银行股份有限公司、秦皇岛银行股份有限公司、齐鲁银行股份有限公司(白金/私行客户)、天津农村商业银行股份有限公司(企业拓展客户)、兰州银行股份有限公司、甘肃银行股份有限公司(除财富客户外的其他客户)、东营银行股份有限公司、富邦华一银行有限公司、桂林银行股份有限公司、江苏高淳农村商业银行股份有限公司、江苏新沂农村商业银行股份有限公司（1元起购）、江苏江都农村商业银行股份有限公司、江苏大丰农村商业银行股份有限公司、江苏镇江农村商业银行股份有限公司(20万元起购)、徐州农村商业银行股份有限公司(财富客户)、江苏紫金农村商业银行股份有限公司、江苏沛县农村商业银行股份有限公司、江苏仪征农村商业银行股份有限公司(20万元起购)、江苏海安农村商业银行股份有限公司、江苏泰州农村商业银行股份有限公司、江苏昆山农村商业银行股份有限公司（代发客户）、湖州银行股份有限公司(代发工资客户)。</w:t>
            </w:r>
          </w:p>
          <w:p w14:paraId="23B37C7D">
            <w:pPr>
              <w:spacing w:line="240" w:lineRule="auto"/>
              <w:rPr>
                <w:sz w:val="28"/>
                <w:szCs w:val="28"/>
              </w:rPr>
            </w:pPr>
            <w:r>
              <w:rPr>
                <w:rFonts w:ascii="方正黑体_GBK" w:hAnsi="方正黑体_GBK" w:eastAsia="方正黑体_GBK" w:cs="宋体"/>
                <w:sz w:val="22"/>
                <w:szCs w:val="22"/>
              </w:rPr>
              <w:t>C份额：江苏江南农村商业银行股份有限公司(代发薪客户和新资金客户)、郑州银行股份有限公司、泰安银行股份有限公司（除贵宾客户外的其他客户）、齐鲁银行股份有限公司(财富客户)、哈密市商业银行股份有限公司、天津农村商业银行股份有限公司(个人新客)、甘肃银行股份有限公司(财富客户)、江苏泰兴农村商业银行股份有限公司、江苏响水农村商业银行股份有限公司(50万元起购)、江苏靖江农村商业银行股份有限公司、江苏新沂农村商业银行股份有限公司（30万元起购）、江苏兴化农村商业银行股份有限公司、江苏镇江农村商业银行股份有限公司(100万元起购)、江苏滨海农村商业银行股份有限公司、江苏射阳农村商业银行股份有限公司、江苏句容农村商业银行股份有限公司、江苏如东农村商业银行股份有限公司、江苏姜堰农村商业银行股份有限公司( 10万元起购)、江苏仪征农村商业银行股份有限公司( 50万元起购)、江苏昆山农村商业银行股份有限公司（私行客户）。</w:t>
            </w:r>
          </w:p>
          <w:p w14:paraId="0906B16C">
            <w:pPr>
              <w:spacing w:line="240" w:lineRule="auto"/>
              <w:rPr>
                <w:sz w:val="28"/>
                <w:szCs w:val="28"/>
              </w:rPr>
            </w:pPr>
            <w:r>
              <w:rPr>
                <w:rFonts w:ascii="方正黑体_GBK" w:hAnsi="方正黑体_GBK" w:eastAsia="方正黑体_GBK" w:cs="宋体"/>
                <w:sz w:val="22"/>
                <w:szCs w:val="22"/>
              </w:rPr>
              <w:t>E份额：南京银行股份有限公司（对公客户）。</w:t>
            </w:r>
          </w:p>
          <w:p w14:paraId="57AC5391">
            <w:pPr>
              <w:spacing w:line="240" w:lineRule="auto"/>
              <w:rPr>
                <w:sz w:val="28"/>
                <w:szCs w:val="28"/>
              </w:rPr>
            </w:pPr>
            <w:r>
              <w:rPr>
                <w:rFonts w:ascii="方正黑体_GBK" w:hAnsi="方正黑体_GBK" w:eastAsia="方正黑体_GBK" w:cs="宋体"/>
                <w:sz w:val="22"/>
                <w:szCs w:val="22"/>
              </w:rPr>
              <w:t>J份额：昆山鹿城村镇银行股份有限公司。</w:t>
            </w:r>
          </w:p>
          <w:p w14:paraId="72127CE4">
            <w:pPr>
              <w:spacing w:line="240" w:lineRule="auto"/>
              <w:rPr>
                <w:sz w:val="28"/>
                <w:szCs w:val="28"/>
              </w:rPr>
            </w:pPr>
            <w:r>
              <w:rPr>
                <w:rFonts w:ascii="方正黑体_GBK" w:hAnsi="方正黑体_GBK" w:eastAsia="方正黑体_GBK" w:cs="宋体"/>
                <w:sz w:val="22"/>
                <w:szCs w:val="22"/>
              </w:rPr>
              <w:t>K份额：吉林银行股份有限公司。</w:t>
            </w:r>
          </w:p>
          <w:p w14:paraId="084D319B">
            <w:pPr>
              <w:spacing w:line="240" w:lineRule="auto"/>
              <w:rPr>
                <w:sz w:val="28"/>
                <w:szCs w:val="28"/>
              </w:rPr>
            </w:pPr>
            <w:r>
              <w:rPr>
                <w:rFonts w:ascii="方正黑体_GBK" w:hAnsi="方正黑体_GBK" w:eastAsia="方正黑体_GBK" w:cs="宋体"/>
                <w:sz w:val="22"/>
                <w:szCs w:val="22"/>
              </w:rPr>
              <w:t>L份额：天津农村商业银行股份有限公司(私钻客户)、泰安银行股份有限公司（私行客户）。</w:t>
            </w:r>
          </w:p>
          <w:p w14:paraId="1081669D">
            <w:pPr>
              <w:spacing w:line="240" w:lineRule="auto"/>
              <w:rPr>
                <w:sz w:val="28"/>
                <w:szCs w:val="28"/>
              </w:rPr>
            </w:pPr>
            <w:r>
              <w:rPr>
                <w:rFonts w:ascii="方正黑体_GBK" w:hAnsi="方正黑体_GBK" w:eastAsia="方正黑体_GBK" w:cs="宋体"/>
                <w:sz w:val="22"/>
                <w:szCs w:val="22"/>
              </w:rPr>
              <w:t>N份额：蒙商银行股份有限公司（除财富客户外的其他客户）。</w:t>
            </w:r>
          </w:p>
          <w:p w14:paraId="2F66DA51">
            <w:pPr>
              <w:spacing w:line="240" w:lineRule="auto"/>
              <w:rPr>
                <w:sz w:val="28"/>
                <w:szCs w:val="28"/>
              </w:rPr>
            </w:pPr>
            <w:r>
              <w:rPr>
                <w:rFonts w:ascii="方正黑体_GBK" w:hAnsi="方正黑体_GBK" w:eastAsia="方正黑体_GBK" w:cs="宋体"/>
                <w:sz w:val="22"/>
                <w:szCs w:val="22"/>
              </w:rPr>
              <w:t>O份额：蒙商银行股份有限公司（财富客户）。</w:t>
            </w:r>
          </w:p>
          <w:p w14:paraId="59F5E23E">
            <w:pPr>
              <w:spacing w:line="240" w:lineRule="auto"/>
              <w:rPr>
                <w:sz w:val="28"/>
                <w:szCs w:val="28"/>
              </w:rPr>
            </w:pPr>
            <w:r>
              <w:rPr>
                <w:rFonts w:ascii="方正黑体_GBK" w:hAnsi="方正黑体_GBK" w:eastAsia="方正黑体_GBK" w:cs="宋体"/>
                <w:sz w:val="22"/>
                <w:szCs w:val="22"/>
              </w:rPr>
              <w:t>A2份额：广东顺德农村商业银行股份有限公司。</w:t>
            </w:r>
          </w:p>
          <w:p w14:paraId="52D9EAA5">
            <w:pPr>
              <w:spacing w:line="240" w:lineRule="auto"/>
              <w:rPr>
                <w:sz w:val="28"/>
                <w:szCs w:val="28"/>
              </w:rPr>
            </w:pPr>
            <w:r>
              <w:rPr>
                <w:rFonts w:ascii="方正黑体_GBK" w:hAnsi="方正黑体_GBK" w:eastAsia="方正黑体_GBK" w:cs="宋体"/>
                <w:b/>
                <w:sz w:val="22"/>
                <w:szCs w:val="22"/>
              </w:rPr>
              <w:t>注：本产品不同份额针对不同的销售机构及客群进行销售，设置有不同的销售费和管理费。</w:t>
            </w:r>
          </w:p>
          <w:p w14:paraId="79942C36">
            <w:pPr>
              <w:spacing w:line="240" w:lineRule="auto"/>
              <w:rPr>
                <w:sz w:val="28"/>
                <w:szCs w:val="28"/>
              </w:rPr>
            </w:pPr>
            <w:r>
              <w:rPr>
                <w:rFonts w:ascii="方正黑体_GBK" w:hAnsi="方正黑体_GBK" w:eastAsia="方正黑体_GBK" w:cs="宋体"/>
                <w:b/>
                <w:sz w:val="22"/>
                <w:szCs w:val="22"/>
              </w:rPr>
              <w:t>南京银行股份有限公司（新客或新资金或代发客户）：</w:t>
            </w:r>
            <w:r>
              <w:rPr>
                <w:rFonts w:ascii="方正黑体_GBK" w:hAnsi="方正黑体_GBK" w:eastAsia="方正黑体_GBK" w:cs="宋体"/>
                <w:sz w:val="22"/>
                <w:szCs w:val="22"/>
              </w:rPr>
              <w:t>新客是指2026年理财年日均余额为0的客户。新资金（5万）是指金融资产余额较上月月日均增长5万元及以上的客户。代发是指近90天内有过代发记录的客户（不含跨行代发、批量兑付、批量付息）。</w:t>
            </w:r>
          </w:p>
        </w:tc>
      </w:tr>
      <w:tr w14:paraId="4543BB1E">
        <w:trPr>
          <w:trHeight w:val="41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7CD37AD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投资起点金额、递增金额</w:t>
            </w:r>
          </w:p>
        </w:tc>
        <w:tc>
          <w:tcPr>
            <w:tcW w:w="5543" w:type="dxa"/>
            <w:tcBorders>
              <w:top w:val="single" w:color="auto" w:sz="4" w:space="0"/>
              <w:left w:val="nil"/>
              <w:bottom w:val="single" w:color="auto" w:sz="4" w:space="0"/>
              <w:right w:val="single" w:color="auto" w:sz="4" w:space="0"/>
              <w:tl2br w:val="nil"/>
              <w:tr2bl w:val="nil"/>
            </w:tcBorders>
            <w:vAlign w:val="center"/>
          </w:tcPr>
          <w:p w14:paraId="03A8DFDE">
            <w:pPr>
              <w:spacing w:line="240" w:lineRule="auto"/>
              <w:rPr>
                <w:sz w:val="28"/>
                <w:szCs w:val="28"/>
              </w:rPr>
            </w:pPr>
            <w:r>
              <w:rPr>
                <w:rFonts w:ascii="方正黑体_GBK" w:hAnsi="方正黑体_GBK" w:eastAsia="方正黑体_GBK" w:cs="宋体"/>
                <w:sz w:val="22"/>
                <w:szCs w:val="22"/>
              </w:rPr>
              <w:t>A份额/B份额/C份额/J份额/K份额/L份额/N份额/O份额/A2份额：</w:t>
            </w:r>
          </w:p>
          <w:p w14:paraId="27C0EF29">
            <w:pPr>
              <w:spacing w:line="240" w:lineRule="auto"/>
              <w:rPr>
                <w:sz w:val="28"/>
                <w:szCs w:val="28"/>
              </w:rPr>
            </w:pPr>
            <w:r>
              <w:rPr>
                <w:rFonts w:ascii="方正黑体_GBK" w:hAnsi="方正黑体_GBK" w:eastAsia="方正黑体_GBK" w:cs="宋体"/>
                <w:sz w:val="22"/>
                <w:szCs w:val="22"/>
              </w:rPr>
              <w:t>个人投资者投资起点金额1元人民币，以1元的整数倍递增；</w:t>
            </w:r>
          </w:p>
          <w:p w14:paraId="2BA9EE53">
            <w:pPr>
              <w:spacing w:line="240" w:lineRule="auto"/>
              <w:rPr>
                <w:sz w:val="28"/>
                <w:szCs w:val="28"/>
              </w:rPr>
            </w:pPr>
            <w:r>
              <w:rPr>
                <w:rFonts w:ascii="方正黑体_GBK" w:hAnsi="方正黑体_GBK" w:eastAsia="方正黑体_GBK" w:cs="宋体"/>
                <w:sz w:val="22"/>
                <w:szCs w:val="22"/>
              </w:rPr>
              <w:t>机构投资者投资起点金额1元人民币，以1元的整数倍递增；</w:t>
            </w:r>
          </w:p>
          <w:p w14:paraId="16D37D91">
            <w:pPr>
              <w:spacing w:line="240" w:lineRule="auto"/>
              <w:rPr>
                <w:sz w:val="28"/>
                <w:szCs w:val="28"/>
              </w:rPr>
            </w:pPr>
            <w:r>
              <w:rPr>
                <w:rFonts w:ascii="方正黑体_GBK" w:hAnsi="方正黑体_GBK" w:eastAsia="方正黑体_GBK" w:cs="宋体"/>
                <w:sz w:val="22"/>
                <w:szCs w:val="22"/>
              </w:rPr>
              <w:t>E份额：</w:t>
            </w:r>
          </w:p>
          <w:p w14:paraId="30FDF40A">
            <w:pPr>
              <w:spacing w:line="240" w:lineRule="auto"/>
              <w:rPr>
                <w:sz w:val="28"/>
                <w:szCs w:val="28"/>
              </w:rPr>
            </w:pPr>
            <w:r>
              <w:rPr>
                <w:rFonts w:ascii="方正黑体_GBK" w:hAnsi="方正黑体_GBK" w:eastAsia="方正黑体_GBK" w:cs="宋体"/>
                <w:sz w:val="22"/>
                <w:szCs w:val="22"/>
              </w:rPr>
              <w:t>机构投资者投资起点金额100万元人民币，以1元的整数倍递增；</w:t>
            </w:r>
          </w:p>
        </w:tc>
      </w:tr>
      <w:tr w14:paraId="1D3D906B">
        <w:trPr>
          <w:trHeight w:val="358" w:hRule="atLeast"/>
          <w:jc w:val="center"/>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54F2057D">
            <w:pPr>
              <w:keepNext w:val="0"/>
              <w:keepLines w:val="0"/>
              <w:pageBreakBefore w:val="0"/>
              <w:widowControl/>
              <w:suppressLineNumbers w:val="0"/>
              <w:suppressAutoHyphens w:val="0"/>
              <w:spacing w:line="240" w:lineRule="auto"/>
              <w:jc w:val="left"/>
              <w:rPr>
                <w:rFonts w:ascii="方正黑体_GBK" w:hAnsi="方正黑体_GBK" w:eastAsia="方正黑体_GBK"/>
                <w:kern w:val="0"/>
                <w:sz w:val="22"/>
                <w:szCs w:val="22"/>
              </w:rPr>
            </w:pPr>
            <w:r>
              <w:rPr>
                <w:rFonts w:hint="eastAsia" w:ascii="方正黑体_GBK" w:hAnsi="方正黑体_GBK" w:eastAsia="方正黑体_GBK"/>
                <w:kern w:val="0"/>
                <w:sz w:val="22"/>
                <w:szCs w:val="22"/>
              </w:rPr>
              <w:t>单一投资者持有比例上限</w:t>
            </w:r>
          </w:p>
        </w:tc>
        <w:tc>
          <w:tcPr>
            <w:tcW w:w="5543" w:type="dxa"/>
            <w:tcBorders>
              <w:top w:val="single" w:color="auto" w:sz="4" w:space="0"/>
              <w:left w:val="nil"/>
              <w:bottom w:val="single" w:color="auto" w:sz="4" w:space="0"/>
              <w:right w:val="single" w:color="auto" w:sz="4" w:space="0"/>
              <w:tl2br w:val="nil"/>
              <w:tr2bl w:val="nil"/>
            </w:tcBorders>
            <w:vAlign w:val="center"/>
          </w:tcPr>
          <w:p w14:paraId="4ABF07B8">
            <w:pPr>
              <w:spacing w:line="240" w:lineRule="auto"/>
              <w:jc w:val="left"/>
              <w:rPr>
                <w:sz w:val="28"/>
                <w:szCs w:val="28"/>
              </w:rPr>
            </w:pPr>
            <w:r>
              <w:rPr>
                <w:rFonts w:ascii="方正黑体_GBK" w:hAnsi="方正黑体_GBK" w:eastAsia="方正黑体_GBK" w:cs="宋体"/>
                <w:sz w:val="22"/>
                <w:szCs w:val="22"/>
              </w:rPr>
              <w:t>本理财产品单一投资者持有的份额（含已确认和待确认的份额）不得超过本理财产品总份额的50%，管理人有权拒绝导致投资者持有份额突破前述50%比例限制的认申购申请。</w:t>
            </w:r>
          </w:p>
          <w:p w14:paraId="2E593CFF">
            <w:pPr>
              <w:spacing w:line="240" w:lineRule="auto"/>
              <w:jc w:val="left"/>
              <w:rPr>
                <w:sz w:val="28"/>
                <w:szCs w:val="28"/>
              </w:rPr>
            </w:pPr>
            <w:r>
              <w:rPr>
                <w:rFonts w:ascii="方正黑体_GBK" w:hAnsi="方正黑体_GBK" w:eastAsia="方正黑体_GBK" w:cs="宋体"/>
                <w:sz w:val="22"/>
                <w:szCs w:val="22"/>
              </w:rPr>
              <w:t>非因管理人主观因素导致突破上述50%比例限制的，在单一投资者持有比例降至50%以下之前，管理人不再接受该投资者对本理财产品的认申购申请。</w:t>
            </w:r>
          </w:p>
        </w:tc>
      </w:tr>
      <w:tr w14:paraId="18EC79D9">
        <w:trPr>
          <w:trHeight w:val="35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5C1C15E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募集期</w:t>
            </w:r>
          </w:p>
        </w:tc>
        <w:tc>
          <w:tcPr>
            <w:tcW w:w="5543" w:type="dxa"/>
            <w:tcBorders>
              <w:top w:val="single" w:color="auto" w:sz="4" w:space="0"/>
              <w:left w:val="nil"/>
              <w:bottom w:val="single" w:color="auto" w:sz="4" w:space="0"/>
              <w:right w:val="single" w:color="auto" w:sz="4" w:space="0"/>
              <w:tl2br w:val="nil"/>
              <w:tr2bl w:val="nil"/>
            </w:tcBorders>
            <w:vAlign w:val="center"/>
          </w:tcPr>
          <w:p w14:paraId="7511FC85">
            <w:pPr>
              <w:spacing w:line="240" w:lineRule="auto"/>
              <w:jc w:val="left"/>
              <w:rPr>
                <w:sz w:val="28"/>
                <w:szCs w:val="28"/>
              </w:rPr>
            </w:pPr>
            <w:r>
              <w:rPr>
                <w:rFonts w:ascii="方正黑体_GBK" w:hAnsi="方正黑体_GBK" w:eastAsia="方正黑体_GBK" w:cs="宋体"/>
                <w:color w:val="000000"/>
                <w:sz w:val="22"/>
                <w:szCs w:val="22"/>
              </w:rPr>
              <w:t>2026年08月12日 09:00—2026年08月18日 17:00</w:t>
            </w:r>
          </w:p>
        </w:tc>
      </w:tr>
      <w:tr w14:paraId="42CB35C2">
        <w:trPr>
          <w:trHeight w:val="35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3764387D">
            <w:pPr>
              <w:keepNext w:val="0"/>
              <w:keepLines w:val="0"/>
              <w:pageBreakBefore w:val="0"/>
              <w:widowControl/>
              <w:suppressLineNumbers w:val="0"/>
              <w:suppressAutoHyphens w:val="0"/>
              <w:spacing w:line="240" w:lineRule="auto"/>
              <w:jc w:val="left"/>
              <w:rPr>
                <w:rFonts w:ascii="方正黑体_GBK" w:hAnsi="方正黑体_GBK" w:eastAsia="方正黑体_GBK"/>
                <w:caps w:val="0"/>
                <w:smallCaps w:val="0"/>
                <w:snapToGrid/>
                <w:vanish w:val="0"/>
                <w:color w:val="auto"/>
                <w:kern w:val="0"/>
                <w:sz w:val="22"/>
                <w:szCs w:val="22"/>
                <w:vertAlign w:val="baseline"/>
              </w:rPr>
            </w:pPr>
            <w:r>
              <w:rPr>
                <w:rFonts w:ascii="方正黑体_GBK" w:hAnsi="方正黑体_GBK" w:eastAsia="方正黑体_GBK"/>
                <w:caps w:val="0"/>
                <w:smallCaps w:val="0"/>
                <w:snapToGrid/>
                <w:vanish w:val="0"/>
                <w:color w:val="auto"/>
                <w:kern w:val="0"/>
                <w:sz w:val="22"/>
                <w:szCs w:val="22"/>
                <w:vertAlign w:val="baseline"/>
              </w:rPr>
              <w:t>认购份额计算</w:t>
            </w:r>
          </w:p>
        </w:tc>
        <w:tc>
          <w:tcPr>
            <w:tcW w:w="5543" w:type="dxa"/>
            <w:tcBorders>
              <w:top w:val="single" w:color="auto" w:sz="4" w:space="0"/>
              <w:left w:val="nil"/>
              <w:bottom w:val="single" w:color="auto" w:sz="4" w:space="0"/>
              <w:right w:val="single" w:color="auto" w:sz="4" w:space="0"/>
              <w:tl2br w:val="nil"/>
              <w:tr2bl w:val="nil"/>
            </w:tcBorders>
            <w:vAlign w:val="center"/>
          </w:tcPr>
          <w:p w14:paraId="48D8A7FC">
            <w:pPr>
              <w:spacing w:line="240" w:lineRule="auto"/>
              <w:rPr>
                <w:sz w:val="28"/>
                <w:szCs w:val="28"/>
              </w:rPr>
            </w:pPr>
            <w:r>
              <w:rPr>
                <w:rFonts w:ascii="方正黑体_GBK" w:hAnsi="方正黑体_GBK" w:eastAsia="方正黑体_GBK" w:cs="宋体"/>
                <w:sz w:val="22"/>
                <w:szCs w:val="22"/>
              </w:rPr>
              <w:t>认购份额=确认认购金额/1。（认购份额以去尾法保留两位小数）</w:t>
            </w:r>
          </w:p>
        </w:tc>
      </w:tr>
      <w:tr w14:paraId="7125D6A4">
        <w:trPr>
          <w:trHeight w:val="340"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35D5583F">
            <w:pPr>
              <w:keepNext w:val="0"/>
              <w:keepLines w:val="0"/>
              <w:pageBreakBefore w:val="0"/>
              <w:widowControl/>
              <w:suppressLineNumbers w:val="0"/>
              <w:suppressAutoHyphens w:val="0"/>
              <w:kinsoku/>
              <w:wordWrap/>
              <w:overflowPunct/>
              <w:topLinePunct w:val="0"/>
              <w:autoSpaceDE/>
              <w:autoSpaceDN/>
              <w:bidi w:val="0"/>
              <w:adjustRightInd/>
              <w:snapToGrid/>
              <w:spacing w:line="240" w:lineRule="auto"/>
              <w:contextualSpacing w:val="0"/>
              <w:jc w:val="left"/>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认购确认日</w:t>
            </w:r>
          </w:p>
        </w:tc>
        <w:tc>
          <w:tcPr>
            <w:tcW w:w="5543" w:type="dxa"/>
            <w:tcBorders>
              <w:top w:val="single" w:color="auto" w:sz="4" w:space="0"/>
              <w:left w:val="nil"/>
              <w:bottom w:val="single" w:color="auto" w:sz="4" w:space="0"/>
              <w:right w:val="single" w:color="auto" w:sz="4" w:space="0"/>
              <w:tl2br w:val="nil"/>
              <w:tr2bl w:val="nil"/>
            </w:tcBorders>
            <w:vAlign w:val="center"/>
          </w:tcPr>
          <w:p w14:paraId="2145F9B9">
            <w:pPr>
              <w:keepNext w:val="0"/>
              <w:keepLines w:val="0"/>
              <w:pageBreakBefore w:val="0"/>
              <w:widowControl w:val="0"/>
              <w:suppressLineNumbers w:val="0"/>
              <w:suppressAutoHyphens w:val="0"/>
              <w:kinsoku/>
              <w:wordWrap/>
              <w:overflowPunct/>
              <w:topLinePunct w:val="0"/>
              <w:autoSpaceDE/>
              <w:autoSpaceDN/>
              <w:bidi w:val="0"/>
              <w:adjustRightInd/>
              <w:snapToGrid/>
              <w:spacing w:line="240" w:lineRule="auto"/>
              <w:contextualSpacing w:val="0"/>
              <w:rPr>
                <w:rFonts w:ascii="方正黑体_GBK" w:hAnsi="方正黑体_GBK" w:eastAsia="方正黑体_GBK"/>
                <w:color w:val="000000"/>
                <w:kern w:val="0"/>
                <w:sz w:val="22"/>
                <w:szCs w:val="22"/>
              </w:rPr>
            </w:pPr>
            <w:r>
              <w:rPr>
                <w:rFonts w:hint="eastAsia" w:ascii="方正黑体_GBK" w:hAnsi="方正黑体_GBK" w:eastAsia="方正黑体_GBK"/>
                <w:color w:val="000000"/>
                <w:kern w:val="0"/>
                <w:sz w:val="22"/>
                <w:szCs w:val="22"/>
              </w:rPr>
              <w:t>同产品成立日</w:t>
            </w:r>
          </w:p>
        </w:tc>
      </w:tr>
      <w:tr w14:paraId="1D42D779">
        <w:trPr>
          <w:trHeight w:val="314"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5B8E761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产品成立日</w:t>
            </w:r>
          </w:p>
        </w:tc>
        <w:tc>
          <w:tcPr>
            <w:tcW w:w="5543" w:type="dxa"/>
            <w:tcBorders>
              <w:top w:val="single" w:color="auto" w:sz="4" w:space="0"/>
              <w:left w:val="nil"/>
              <w:bottom w:val="single" w:color="auto" w:sz="4" w:space="0"/>
              <w:right w:val="single" w:color="auto" w:sz="4" w:space="0"/>
              <w:tl2br w:val="nil"/>
              <w:tr2bl w:val="nil"/>
            </w:tcBorders>
            <w:vAlign w:val="center"/>
          </w:tcPr>
          <w:p w14:paraId="05122207">
            <w:pPr>
              <w:keepNext w:val="0"/>
              <w:keepLines w:val="0"/>
              <w:pageBreakBefore w:val="0"/>
              <w:widowControl w:val="0"/>
              <w:suppressLineNumbers w:val="0"/>
              <w:suppressAutoHyphens w:val="0"/>
              <w:kinsoku/>
              <w:wordWrap/>
              <w:overflowPunct/>
              <w:topLinePunct w:val="0"/>
              <w:autoSpaceDE/>
              <w:autoSpaceDN/>
              <w:bidi w:val="0"/>
              <w:adjustRightInd/>
              <w:snapToGrid/>
              <w:spacing w:line="240" w:lineRule="auto"/>
              <w:contextualSpacing w:val="0"/>
              <w:rPr>
                <w:sz w:val="28"/>
                <w:szCs w:val="28"/>
              </w:rPr>
            </w:pPr>
            <w:r>
              <w:rPr>
                <w:rFonts w:hint="eastAsia" w:ascii="方正黑体_GBK" w:hAnsi="方正黑体_GBK" w:eastAsia="方正黑体_GBK"/>
                <w:kern w:val="0"/>
                <w:sz w:val="22"/>
                <w:szCs w:val="22"/>
              </w:rPr>
              <w:t>2026年08月19日</w:t>
            </w:r>
          </w:p>
        </w:tc>
      </w:tr>
      <w:tr w14:paraId="2C708D58">
        <w:trPr>
          <w:trHeight w:val="35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7BBCA46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产品存续期</w:t>
            </w:r>
          </w:p>
        </w:tc>
        <w:tc>
          <w:tcPr>
            <w:tcW w:w="5543" w:type="dxa"/>
            <w:tcBorders>
              <w:top w:val="single" w:color="auto" w:sz="4" w:space="0"/>
              <w:left w:val="nil"/>
              <w:bottom w:val="single" w:color="auto" w:sz="4" w:space="0"/>
              <w:right w:val="single" w:color="auto" w:sz="4" w:space="0"/>
              <w:tl2br w:val="nil"/>
              <w:tr2bl w:val="nil"/>
            </w:tcBorders>
            <w:vAlign w:val="center"/>
          </w:tcPr>
          <w:p w14:paraId="5B3CDC36">
            <w:pPr>
              <w:spacing w:line="240" w:lineRule="auto"/>
              <w:rPr>
                <w:sz w:val="28"/>
                <w:szCs w:val="28"/>
              </w:rPr>
            </w:pPr>
            <w:r>
              <w:rPr>
                <w:rFonts w:ascii="方正黑体_GBK" w:hAnsi="方正黑体_GBK" w:eastAsia="方正黑体_GBK" w:cs="宋体"/>
                <w:sz w:val="22"/>
                <w:szCs w:val="22"/>
              </w:rPr>
              <w:t>2026年08月19日—实际到期日（</w:t>
            </w:r>
            <w:r>
              <w:rPr>
                <w:rFonts w:ascii="方正黑体_GBK" w:hAnsi="方正黑体_GBK" w:eastAsia="方正黑体_GBK" w:cs="宋体"/>
                <w:b/>
                <w:sz w:val="22"/>
                <w:szCs w:val="22"/>
              </w:rPr>
              <w:t>如名义到期日遇国家法定节假日，管理人可结合国家法定节假日安排进行调整。</w:t>
            </w:r>
            <w:r>
              <w:rPr>
                <w:rFonts w:ascii="方正黑体_GBK" w:hAnsi="方正黑体_GBK" w:eastAsia="方正黑体_GBK" w:cs="宋体"/>
                <w:sz w:val="22"/>
                <w:szCs w:val="22"/>
              </w:rPr>
              <w:t>若未出现以上情形，则实际到期日即为名义到期日，存续期限</w:t>
            </w:r>
            <w:r>
              <w:rPr>
                <w:rFonts w:ascii="方正黑体_GBK" w:hAnsi="方正黑体_GBK" w:eastAsia="方正黑体_GBK" w:cs="宋体"/>
                <w:b/>
                <w:sz w:val="22"/>
                <w:szCs w:val="22"/>
              </w:rPr>
              <w:t>99天</w:t>
            </w:r>
            <w:r>
              <w:rPr>
                <w:rFonts w:ascii="方正黑体_GBK" w:hAnsi="方正黑体_GBK" w:eastAsia="方正黑体_GBK" w:cs="宋体"/>
                <w:sz w:val="22"/>
                <w:szCs w:val="22"/>
              </w:rPr>
              <w:t>；若出现以上情形，则理财存续期限和实际到期日将相应调整，管理人将至少提前3个工作日进行信息披露。）</w:t>
            </w:r>
          </w:p>
        </w:tc>
      </w:tr>
      <w:tr w14:paraId="4FADBA33">
        <w:trPr>
          <w:trHeight w:val="525"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0C10F69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名义到期日</w:t>
            </w:r>
          </w:p>
        </w:tc>
        <w:tc>
          <w:tcPr>
            <w:tcW w:w="5543" w:type="dxa"/>
            <w:tcBorders>
              <w:top w:val="single" w:color="auto" w:sz="4" w:space="0"/>
              <w:left w:val="nil"/>
              <w:bottom w:val="single" w:color="auto" w:sz="4" w:space="0"/>
              <w:right w:val="single" w:color="auto" w:sz="4" w:space="0"/>
              <w:tl2br w:val="nil"/>
              <w:tr2bl w:val="nil"/>
            </w:tcBorders>
            <w:vAlign w:val="center"/>
          </w:tcPr>
          <w:p w14:paraId="5213BD5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2026年11月26日</w:t>
            </w:r>
          </w:p>
        </w:tc>
      </w:tr>
      <w:tr w14:paraId="010FEC6C">
        <w:trPr>
          <w:trHeight w:val="359" w:hRule="atLeast"/>
          <w:jc w:val="center"/>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0F672A1D">
            <w:pPr>
              <w:keepNext w:val="0"/>
              <w:keepLines w:val="0"/>
              <w:pageBreakBefore w:val="0"/>
              <w:widowControl/>
              <w:suppressLineNumbers w:val="0"/>
              <w:suppressAutoHyphens w:val="0"/>
              <w:kinsoku/>
              <w:wordWrap/>
              <w:overflowPunct/>
              <w:topLinePunct w:val="0"/>
              <w:autoSpaceDE/>
              <w:autoSpaceDN/>
              <w:bidi w:val="0"/>
              <w:adjustRightInd/>
              <w:snapToGrid/>
              <w:spacing w:line="240" w:lineRule="auto"/>
              <w:ind w:left="0" w:firstLine="0"/>
              <w:contextualSpacing w:val="0"/>
              <w:jc w:val="left"/>
              <w:rPr>
                <w:rFonts w:hint="eastAsia"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kern w:val="0"/>
                <w:sz w:val="22"/>
                <w:szCs w:val="22"/>
              </w:rPr>
              <w:t>到期兑付金额计算</w:t>
            </w:r>
          </w:p>
        </w:tc>
        <w:tc>
          <w:tcPr>
            <w:tcW w:w="5543" w:type="dxa"/>
            <w:tcBorders>
              <w:top w:val="single" w:color="auto" w:sz="4" w:space="0"/>
              <w:left w:val="nil"/>
              <w:bottom w:val="single" w:color="auto" w:sz="4" w:space="0"/>
              <w:right w:val="single" w:color="auto" w:sz="4" w:space="0"/>
              <w:tl2br w:val="nil"/>
              <w:tr2bl w:val="nil"/>
            </w:tcBorders>
            <w:vAlign w:val="center"/>
          </w:tcPr>
          <w:p w14:paraId="4907AB1F">
            <w:pPr>
              <w:spacing w:line="240" w:lineRule="auto"/>
              <w:rPr>
                <w:sz w:val="28"/>
                <w:szCs w:val="28"/>
              </w:rPr>
            </w:pPr>
            <w:r>
              <w:rPr>
                <w:rFonts w:ascii="方正黑体_GBK" w:hAnsi="方正黑体_GBK" w:eastAsia="方正黑体_GBK" w:cs="宋体"/>
                <w:color w:val="000000"/>
                <w:sz w:val="22"/>
                <w:szCs w:val="22"/>
              </w:rPr>
              <w:t>到期兑付金额=到期时持有份额×R。 R为期末理财产品单位净值。（已扣除相关费用，到期兑付金额以去尾法保留两位小数）</w:t>
            </w:r>
          </w:p>
        </w:tc>
      </w:tr>
      <w:tr w14:paraId="7ECA75C3">
        <w:trPr>
          <w:trHeight w:val="32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38EDA21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收益分配</w:t>
            </w:r>
          </w:p>
        </w:tc>
        <w:tc>
          <w:tcPr>
            <w:tcW w:w="5543" w:type="dxa"/>
            <w:tcBorders>
              <w:top w:val="single" w:color="auto" w:sz="4" w:space="0"/>
              <w:left w:val="nil"/>
              <w:bottom w:val="single" w:color="auto" w:sz="4" w:space="0"/>
              <w:right w:val="single" w:color="auto" w:sz="4" w:space="0"/>
              <w:tl2br w:val="nil"/>
              <w:tr2bl w:val="nil"/>
            </w:tcBorders>
            <w:vAlign w:val="center"/>
          </w:tcPr>
          <w:p w14:paraId="14585753">
            <w:pPr>
              <w:spacing w:line="240" w:lineRule="auto"/>
              <w:rPr>
                <w:sz w:val="28"/>
                <w:szCs w:val="28"/>
              </w:rPr>
            </w:pPr>
            <w:r>
              <w:rPr>
                <w:rFonts w:ascii="方正黑体_GBK" w:hAnsi="方正黑体_GBK" w:eastAsia="方正黑体_GBK" w:cs="宋体"/>
                <w:sz w:val="22"/>
                <w:szCs w:val="22"/>
              </w:rPr>
              <w:t>本理财产品存续期间不进行分红。</w:t>
            </w:r>
          </w:p>
          <w:p w14:paraId="73C49131">
            <w:pPr>
              <w:spacing w:line="240" w:lineRule="auto"/>
              <w:rPr>
                <w:sz w:val="28"/>
                <w:szCs w:val="28"/>
              </w:rPr>
            </w:pPr>
            <w:r>
              <w:rPr>
                <w:rFonts w:ascii="方正黑体_GBK" w:hAnsi="方正黑体_GBK" w:eastAsia="方正黑体_GBK" w:cs="宋体"/>
                <w:sz w:val="22"/>
                <w:szCs w:val="22"/>
              </w:rPr>
              <w:t>产品到期后，理财产品管理人和代销机构将根据理财资金所投资资产实际运作情况向投资者分配到期款项。</w:t>
            </w:r>
          </w:p>
        </w:tc>
      </w:tr>
      <w:tr w14:paraId="6D8384BF">
        <w:trPr>
          <w:trHeight w:val="29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7D80803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资金到账日</w:t>
            </w:r>
          </w:p>
        </w:tc>
        <w:tc>
          <w:tcPr>
            <w:tcW w:w="5543" w:type="dxa"/>
            <w:tcBorders>
              <w:top w:val="single" w:color="auto" w:sz="4" w:space="0"/>
              <w:left w:val="nil"/>
              <w:bottom w:val="single" w:color="auto" w:sz="4" w:space="0"/>
              <w:right w:val="single" w:color="auto" w:sz="4" w:space="0"/>
              <w:tl2br w:val="nil"/>
              <w:tr2bl w:val="nil"/>
            </w:tcBorders>
            <w:vAlign w:val="center"/>
          </w:tcPr>
          <w:p w14:paraId="37C98658">
            <w:pPr>
              <w:spacing w:line="240" w:lineRule="auto"/>
              <w:rPr>
                <w:sz w:val="28"/>
                <w:szCs w:val="28"/>
              </w:rPr>
            </w:pPr>
            <w:r>
              <w:rPr>
                <w:rFonts w:ascii="方正黑体_GBK" w:hAnsi="方正黑体_GBK" w:eastAsia="方正黑体_GBK" w:cs="宋体"/>
                <w:sz w:val="22"/>
                <w:szCs w:val="22"/>
              </w:rPr>
              <w:t>到期资金将于实际到期日后5个工作日内划入投资者授权指定账户。</w:t>
            </w:r>
          </w:p>
        </w:tc>
      </w:tr>
      <w:tr w14:paraId="5A1CD3B0">
        <w:trPr>
          <w:trHeight w:val="254"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7ECB2FE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s="Times New Roman"/>
                <w:caps w:val="0"/>
                <w:smallCaps w:val="0"/>
                <w:snapToGrid/>
                <w:vanish w:val="0"/>
                <w:color w:val="auto"/>
                <w:kern w:val="0"/>
                <w:sz w:val="22"/>
                <w:szCs w:val="22"/>
                <w:vertAlign w:val="baseline"/>
              </w:rPr>
              <w:t>投资范围</w:t>
            </w:r>
          </w:p>
        </w:tc>
        <w:tc>
          <w:tcPr>
            <w:tcW w:w="5543" w:type="dxa"/>
            <w:tcBorders>
              <w:top w:val="single" w:color="auto" w:sz="4" w:space="0"/>
              <w:left w:val="nil"/>
              <w:bottom w:val="single" w:color="auto" w:sz="4" w:space="0"/>
              <w:right w:val="single" w:color="auto" w:sz="4" w:space="0"/>
              <w:tl2br w:val="nil"/>
              <w:tr2bl w:val="nil"/>
            </w:tcBorders>
            <w:vAlign w:val="center"/>
          </w:tcPr>
          <w:p w14:paraId="7EE32FBF">
            <w:pPr>
              <w:spacing w:line="240" w:lineRule="auto"/>
              <w:jc w:val="left"/>
              <w:rPr>
                <w:sz w:val="28"/>
                <w:szCs w:val="28"/>
              </w:rPr>
            </w:pPr>
            <w:r>
              <w:rPr>
                <w:rFonts w:ascii="方正黑体_GBK" w:hAnsi="方正黑体_GBK" w:eastAsia="方正黑体_GBK" w:cs="宋体"/>
                <w:sz w:val="22"/>
                <w:szCs w:val="22"/>
              </w:rPr>
              <w:t>本理财产品募集的资金投资于以下金融资产和金融工具，包括但不限于：</w:t>
            </w:r>
          </w:p>
          <w:p w14:paraId="31E0342D">
            <w:pPr>
              <w:spacing w:line="240" w:lineRule="auto"/>
              <w:jc w:val="left"/>
              <w:rPr>
                <w:sz w:val="28"/>
                <w:szCs w:val="28"/>
              </w:rPr>
            </w:pPr>
            <w:r>
              <w:rPr>
                <w:rFonts w:ascii="方正黑体_GBK" w:hAnsi="方正黑体_GBK" w:eastAsia="方正黑体_GBK" w:cs="宋体"/>
                <w:sz w:val="22"/>
                <w:szCs w:val="22"/>
              </w:rPr>
              <w:t>1.现金、银行存款、银行承兑汇票、同业存款、大额存单、同业存单、债券回购、货币基金等货币市场工具；</w:t>
            </w:r>
          </w:p>
          <w:p w14:paraId="64E83A89">
            <w:pPr>
              <w:spacing w:line="240" w:lineRule="auto"/>
              <w:jc w:val="left"/>
              <w:rPr>
                <w:sz w:val="28"/>
                <w:szCs w:val="28"/>
              </w:rPr>
            </w:pPr>
            <w:r>
              <w:rPr>
                <w:rFonts w:ascii="方正黑体_GBK" w:hAnsi="方正黑体_GBK" w:eastAsia="方正黑体_GBK" w:cs="宋体"/>
                <w:sz w:val="22"/>
                <w:szCs w:val="22"/>
              </w:rPr>
              <w:t>2.国债、央票、企业债、金融债、政策性金融债、次级债、二级资本债、永续债、资产支持证券、资产支持票据、地方政府债、中期票据、超短期融资券、短期融资券、公司债、可转债、可交债、非公开定向债务融资工具(PPN)、公募债券型证券投资基金等标准化债权类资产；</w:t>
            </w:r>
          </w:p>
          <w:p w14:paraId="23B091F3">
            <w:pPr>
              <w:spacing w:line="240" w:lineRule="auto"/>
              <w:jc w:val="left"/>
              <w:rPr>
                <w:sz w:val="28"/>
                <w:szCs w:val="28"/>
              </w:rPr>
            </w:pPr>
            <w:r>
              <w:rPr>
                <w:rFonts w:ascii="方正黑体_GBK" w:hAnsi="方正黑体_GBK" w:eastAsia="方正黑体_GBK" w:cs="宋体"/>
                <w:sz w:val="22"/>
                <w:szCs w:val="22"/>
              </w:rPr>
              <w:t>3.信托贷款、收受益权、应收账款、债权融资类产品、同业借款、收益凭证、债权投资计划和资产支持计划、信贷资产流转和收益权转让产品、场内股票质押回购、场外股票质押融资等资产，以及符合监管要求的其他非标准化债权类资产；</w:t>
            </w:r>
          </w:p>
          <w:p w14:paraId="4B132692">
            <w:pPr>
              <w:spacing w:line="240" w:lineRule="auto"/>
              <w:jc w:val="left"/>
              <w:rPr>
                <w:sz w:val="28"/>
                <w:szCs w:val="28"/>
              </w:rPr>
            </w:pPr>
            <w:r>
              <w:rPr>
                <w:rFonts w:ascii="方正黑体_GBK" w:hAnsi="方正黑体_GBK" w:eastAsia="方正黑体_GBK" w:cs="宋体"/>
                <w:sz w:val="22"/>
                <w:szCs w:val="22"/>
              </w:rPr>
              <w:t>4.投资范围为上述资产的信托计划、资产管理计划等资产管理产品；</w:t>
            </w:r>
          </w:p>
          <w:p w14:paraId="38C9E948">
            <w:pPr>
              <w:spacing w:line="240" w:lineRule="auto"/>
              <w:jc w:val="left"/>
              <w:rPr>
                <w:sz w:val="28"/>
                <w:szCs w:val="28"/>
              </w:rPr>
            </w:pPr>
            <w:r>
              <w:rPr>
                <w:rFonts w:ascii="方正黑体_GBK" w:hAnsi="方正黑体_GBK" w:eastAsia="方正黑体_GBK" w:cs="宋体"/>
                <w:sz w:val="22"/>
                <w:szCs w:val="22"/>
              </w:rPr>
              <w:t>5.法律法规或监管机构允许投资的符合本理财产品投资性质的其他金融工具。</w:t>
            </w:r>
          </w:p>
        </w:tc>
      </w:tr>
      <w:tr w14:paraId="5D03353E">
        <w:trPr>
          <w:trHeight w:val="32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4B55E09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s="Times New Roman"/>
                <w:caps w:val="0"/>
                <w:smallCaps w:val="0"/>
                <w:snapToGrid/>
                <w:vanish w:val="0"/>
                <w:color w:val="auto"/>
                <w:kern w:val="0"/>
                <w:sz w:val="22"/>
                <w:szCs w:val="22"/>
                <w:vertAlign w:val="baseline"/>
              </w:rPr>
              <w:t>投资比例</w:t>
            </w:r>
          </w:p>
        </w:tc>
        <w:tc>
          <w:tcPr>
            <w:tcW w:w="5543" w:type="dxa"/>
            <w:tcBorders>
              <w:top w:val="single" w:color="auto" w:sz="4" w:space="0"/>
              <w:left w:val="nil"/>
              <w:bottom w:val="single" w:color="auto" w:sz="4" w:space="0"/>
              <w:right w:val="single" w:color="auto" w:sz="4" w:space="0"/>
              <w:tl2br w:val="nil"/>
              <w:tr2bl w:val="nil"/>
            </w:tcBorders>
            <w:vAlign w:val="center"/>
          </w:tcPr>
          <w:p w14:paraId="0698B957">
            <w:pPr>
              <w:spacing w:line="240" w:lineRule="auto"/>
              <w:rPr>
                <w:sz w:val="28"/>
                <w:szCs w:val="28"/>
              </w:rPr>
            </w:pPr>
            <w:r>
              <w:rPr>
                <w:rFonts w:ascii="方正黑体_GBK" w:hAnsi="方正黑体_GBK" w:eastAsia="方正黑体_GBK" w:cs="宋体"/>
                <w:sz w:val="22"/>
                <w:szCs w:val="22"/>
              </w:rPr>
              <w:t>本理财产品投资于固定收益类资产的比例不低于80%,投资于非标准化债权类资产的比例不高于50%。</w:t>
            </w:r>
          </w:p>
          <w:p w14:paraId="0689FB4A">
            <w:pPr>
              <w:spacing w:line="240" w:lineRule="auto"/>
              <w:rPr>
                <w:sz w:val="28"/>
                <w:szCs w:val="28"/>
              </w:rPr>
            </w:pPr>
            <w:r>
              <w:rPr>
                <w:rFonts w:ascii="方正黑体_GBK" w:hAnsi="方正黑体_GBK" w:eastAsia="方正黑体_GBK" w:cs="宋体"/>
                <w:b/>
                <w:color w:val="000000"/>
                <w:sz w:val="22"/>
                <w:szCs w:val="22"/>
                <w:shd w:val="clear" w:fill="FAFAFA"/>
              </w:rPr>
              <w:t>注：非因管理人主观因素导致突破上述比例限制的，管理人将在流动性受限资产可出售、可转让或者恢复交易的15个交易日内将投资比例调整至符合说明书约定的范围。</w:t>
            </w:r>
          </w:p>
        </w:tc>
      </w:tr>
      <w:tr w14:paraId="1E37AA2C">
        <w:trPr>
          <w:trHeight w:val="32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78763F8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投资策略</w:t>
            </w:r>
          </w:p>
        </w:tc>
        <w:tc>
          <w:tcPr>
            <w:tcW w:w="5543" w:type="dxa"/>
            <w:tcBorders>
              <w:top w:val="single" w:color="auto" w:sz="4" w:space="0"/>
              <w:left w:val="nil"/>
              <w:bottom w:val="single" w:color="auto" w:sz="4" w:space="0"/>
              <w:right w:val="single" w:color="auto" w:sz="4" w:space="0"/>
              <w:tl2br w:val="nil"/>
              <w:tr2bl w:val="nil"/>
            </w:tcBorders>
            <w:vAlign w:val="center"/>
          </w:tcPr>
          <w:p w14:paraId="24040504">
            <w:pPr>
              <w:spacing w:line="240" w:lineRule="auto"/>
              <w:rPr>
                <w:sz w:val="28"/>
                <w:szCs w:val="28"/>
              </w:rPr>
            </w:pPr>
            <w:r>
              <w:rPr>
                <w:rFonts w:ascii="方正黑体_GBK" w:hAnsi="方正黑体_GBK" w:eastAsia="方正黑体_GBK" w:cs="宋体"/>
                <w:sz w:val="22"/>
                <w:szCs w:val="22"/>
              </w:rPr>
              <w:t>本产品在严格控制风险（包括流动性风险、市场风险、信用风险）的前提下，以自上而下的经济基本面分析为基础，合理筛选资产，力争实现资产的稳健增长。</w:t>
            </w:r>
          </w:p>
        </w:tc>
      </w:tr>
      <w:tr w14:paraId="059672FB">
        <w:trPr>
          <w:trHeight w:val="614"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509416EE">
            <w:pPr>
              <w:keepNext w:val="0"/>
              <w:keepLines w:val="0"/>
              <w:pageBreakBefore w:val="0"/>
              <w:widowControl/>
              <w:suppressLineNumbers w:val="0"/>
              <w:suppressAutoHyphens w:val="0"/>
              <w:kinsoku/>
              <w:wordWrap/>
              <w:overflowPunct/>
              <w:topLinePunct w:val="0"/>
              <w:autoSpaceDE/>
              <w:autoSpaceDN/>
              <w:bidi w:val="0"/>
              <w:adjustRightInd/>
              <w:snapToGrid/>
              <w:spacing w:line="240" w:lineRule="auto"/>
              <w:contextualSpacing w:val="0"/>
              <w:jc w:val="left"/>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s="Times New Roman"/>
                <w:caps w:val="0"/>
                <w:smallCaps w:val="0"/>
                <w:snapToGrid/>
                <w:vanish w:val="0"/>
                <w:color w:val="auto"/>
                <w:kern w:val="0"/>
                <w:sz w:val="22"/>
                <w:szCs w:val="22"/>
                <w:vertAlign w:val="baseline"/>
              </w:rPr>
              <w:t>拟投资非标准化债权类资产</w:t>
            </w:r>
          </w:p>
        </w:tc>
        <w:tc>
          <w:tcPr>
            <w:tcW w:w="5543" w:type="dxa"/>
            <w:tcBorders>
              <w:top w:val="single" w:color="auto" w:sz="4" w:space="0"/>
              <w:left w:val="nil"/>
              <w:bottom w:val="single" w:color="auto" w:sz="4" w:space="0"/>
              <w:right w:val="single" w:color="auto" w:sz="4" w:space="0"/>
              <w:tl2br w:val="nil"/>
              <w:tr2bl w:val="nil"/>
            </w:tcBorders>
            <w:vAlign w:val="center"/>
          </w:tcPr>
          <w:p w14:paraId="7FD3A452">
            <w:pPr>
              <w:spacing w:line="240" w:lineRule="auto"/>
              <w:rPr>
                <w:sz w:val="28"/>
                <w:szCs w:val="28"/>
              </w:rPr>
            </w:pPr>
            <w:r>
              <w:rPr>
                <w:rFonts w:ascii="方正黑体_GBK" w:hAnsi="方正黑体_GBK" w:eastAsia="方正黑体_GBK" w:cs="宋体"/>
                <w:b/>
                <w:sz w:val="22"/>
                <w:szCs w:val="22"/>
              </w:rPr>
              <w:t>本理财产品拟投资以下备选非标准化债权类资产：</w:t>
            </w:r>
          </w:p>
          <w:p w14:paraId="7C6F5E85">
            <w:pPr>
              <w:spacing w:line="240" w:lineRule="auto"/>
              <w:rPr>
                <w:sz w:val="28"/>
                <w:szCs w:val="28"/>
              </w:rPr>
            </w:pPr>
            <w:r>
              <w:rPr>
                <w:rFonts w:ascii="方正黑体_GBK" w:hAnsi="方正黑体_GBK" w:eastAsia="方正黑体_GBK" w:cs="宋体"/>
                <w:sz w:val="22"/>
                <w:szCs w:val="22"/>
              </w:rPr>
              <w:t>1.   同业借款：资产类型为南银理财有限责任公司向持牌金融机构发放的同业借款，资产到期日不超过理财产品到期日，融资人为中国中信金融资产管理股份有限公司。</w:t>
            </w:r>
          </w:p>
          <w:p w14:paraId="06576DF5">
            <w:pPr>
              <w:spacing w:line="240" w:lineRule="auto"/>
              <w:rPr>
                <w:sz w:val="28"/>
                <w:szCs w:val="28"/>
              </w:rPr>
            </w:pPr>
            <w:r>
              <w:rPr>
                <w:rFonts w:ascii="方正黑体_GBK" w:hAnsi="方正黑体_GBK" w:eastAsia="方正黑体_GBK" w:cs="宋体"/>
                <w:sz w:val="22"/>
                <w:szCs w:val="22"/>
              </w:rPr>
              <w:t>2.   同业借款：资产类型为南银理财有限责任公司向持牌金融机构发放的同业借款，资产到期日不超过理财产品到期日，融资人为中国东方资产管理股份有限公司。</w:t>
            </w:r>
          </w:p>
          <w:p w14:paraId="2DBD3E68">
            <w:pPr>
              <w:spacing w:line="240" w:lineRule="auto"/>
              <w:rPr>
                <w:sz w:val="28"/>
                <w:szCs w:val="28"/>
              </w:rPr>
            </w:pPr>
            <w:r>
              <w:rPr>
                <w:rFonts w:ascii="方正黑体_GBK" w:hAnsi="方正黑体_GBK" w:eastAsia="方正黑体_GBK" w:cs="宋体"/>
                <w:sz w:val="22"/>
                <w:szCs w:val="22"/>
              </w:rPr>
              <w:t>3.   同业借款：资产类型为南银理财有限责任公司向持牌金融机构发放的同业借款，资产到期日不超过理财产品到期日，融资人为中国信达资产管理股份有限公司。</w:t>
            </w:r>
          </w:p>
          <w:p w14:paraId="31D5AA95">
            <w:pPr>
              <w:spacing w:line="240" w:lineRule="auto"/>
              <w:rPr>
                <w:sz w:val="28"/>
                <w:szCs w:val="28"/>
              </w:rPr>
            </w:pPr>
            <w:r>
              <w:rPr>
                <w:rFonts w:ascii="方正黑体_GBK" w:hAnsi="方正黑体_GBK" w:eastAsia="方正黑体_GBK" w:cs="宋体"/>
                <w:sz w:val="22"/>
                <w:szCs w:val="22"/>
              </w:rPr>
              <w:t>4.   同业借款：资产类型为南银理财有限责任公司向持牌金融机构发放的同业借款，资产到期日不超过理财产品到期日，融资人为中国长城资产管理股份有限公司。</w:t>
            </w:r>
          </w:p>
          <w:p w14:paraId="1CC65B3B">
            <w:pPr>
              <w:spacing w:line="240" w:lineRule="auto"/>
              <w:rPr>
                <w:sz w:val="28"/>
                <w:szCs w:val="28"/>
              </w:rPr>
            </w:pPr>
            <w:r>
              <w:rPr>
                <w:rFonts w:ascii="方正黑体_GBK" w:hAnsi="方正黑体_GBK" w:eastAsia="方正黑体_GBK" w:cs="宋体"/>
                <w:sz w:val="22"/>
                <w:szCs w:val="22"/>
              </w:rPr>
              <w:t>5.   券商收益凭证：资产类型为证券公司发行的收益凭证，资产到期日不超过理财产品到期日，融资人为华宝证券股份有限公司，融资人评级为AA+（评级机构为联合资信评估股份有限公司）。</w:t>
            </w:r>
          </w:p>
          <w:p w14:paraId="2EDB5174">
            <w:pPr>
              <w:spacing w:line="240" w:lineRule="auto"/>
              <w:rPr>
                <w:sz w:val="28"/>
                <w:szCs w:val="28"/>
              </w:rPr>
            </w:pPr>
            <w:r>
              <w:rPr>
                <w:rFonts w:ascii="方正黑体_GBK" w:hAnsi="方正黑体_GBK" w:eastAsia="方正黑体_GBK" w:cs="宋体"/>
                <w:sz w:val="22"/>
                <w:szCs w:val="22"/>
              </w:rPr>
              <w:t>6.   券商收益凭证：资产类型为证券公司发行的收益凭证，资产到期日不超过理财产品到期日，融资人为上海证券有限责任公司，融资人评级为AAA（评级机构为上海新世纪资信评估投资服务有限公司）。</w:t>
            </w:r>
          </w:p>
          <w:p w14:paraId="5375E7D4">
            <w:pPr>
              <w:spacing w:line="240" w:lineRule="auto"/>
              <w:rPr>
                <w:sz w:val="28"/>
                <w:szCs w:val="28"/>
              </w:rPr>
            </w:pPr>
            <w:r>
              <w:rPr>
                <w:rFonts w:ascii="方正黑体_GBK" w:hAnsi="方正黑体_GBK" w:eastAsia="方正黑体_GBK" w:cs="宋体"/>
                <w:sz w:val="22"/>
                <w:szCs w:val="22"/>
              </w:rPr>
              <w:t>7.   券商收益凭证：资产类型为证券公司发行的收益凭证，资产到期日不超过理财产品到期日，融资人为山西证券股份有限公司，融资人评级为AAA（评级机构为中诚信国际信用评级有限责任公司）。</w:t>
            </w:r>
          </w:p>
          <w:p w14:paraId="65921CAA">
            <w:pPr>
              <w:spacing w:line="240" w:lineRule="auto"/>
              <w:rPr>
                <w:sz w:val="28"/>
                <w:szCs w:val="28"/>
              </w:rPr>
            </w:pPr>
            <w:r>
              <w:rPr>
                <w:rFonts w:ascii="方正黑体_GBK" w:hAnsi="方正黑体_GBK" w:eastAsia="方正黑体_GBK" w:cs="宋体"/>
                <w:sz w:val="22"/>
                <w:szCs w:val="22"/>
              </w:rPr>
              <w:t>8.   券商收益凭证：资产类型为证券公司发行的收益凭证，资产到期日不超过理财产品到期日，融资人为中银国际证券股份有限公司，融资人评级为AAA（评级机构为中诚信国际信用评级有限责任公司）。</w:t>
            </w:r>
          </w:p>
          <w:p w14:paraId="2D518146">
            <w:pPr>
              <w:spacing w:line="240" w:lineRule="auto"/>
              <w:rPr>
                <w:sz w:val="28"/>
                <w:szCs w:val="28"/>
              </w:rPr>
            </w:pPr>
            <w:r>
              <w:rPr>
                <w:rFonts w:ascii="方正黑体_GBK" w:hAnsi="方正黑体_GBK" w:eastAsia="方正黑体_GBK" w:cs="宋体"/>
                <w:sz w:val="22"/>
                <w:szCs w:val="22"/>
              </w:rPr>
              <w:t>9.   券商收益凭证：资产类型为证券公司发行的收益凭证，资产到期日不超过理财产品到期日，融资人为首创证券股份有限公司，融资人评级为AAA（评级机构为中诚信国际信用评级有限责任公司）。</w:t>
            </w:r>
          </w:p>
          <w:p w14:paraId="0F626908">
            <w:pPr>
              <w:spacing w:line="240" w:lineRule="auto"/>
              <w:rPr>
                <w:sz w:val="28"/>
                <w:szCs w:val="28"/>
              </w:rPr>
            </w:pPr>
            <w:r>
              <w:rPr>
                <w:rFonts w:ascii="方正黑体_GBK" w:hAnsi="方正黑体_GBK" w:eastAsia="方正黑体_GBK" w:cs="宋体"/>
                <w:sz w:val="22"/>
                <w:szCs w:val="22"/>
              </w:rPr>
              <w:t>10.  券商收益凭证：资产类型为证券公司发行的收益凭证，资产到期日不超过理财产品到期日，融资人为国泰海通证券股份有限公司，融资人评级为AAA（评级机构为上海新世纪资信评估投资服务有限公司）。</w:t>
            </w:r>
          </w:p>
          <w:p w14:paraId="34B873D0">
            <w:pPr>
              <w:spacing w:line="240" w:lineRule="auto"/>
              <w:rPr>
                <w:sz w:val="28"/>
                <w:szCs w:val="28"/>
              </w:rPr>
            </w:pPr>
            <w:r>
              <w:rPr>
                <w:rFonts w:ascii="方正黑体_GBK" w:hAnsi="方正黑体_GBK" w:eastAsia="方正黑体_GBK" w:cs="宋体"/>
                <w:sz w:val="22"/>
                <w:szCs w:val="22"/>
              </w:rPr>
              <w:t>11.  券商收益凭证：资产类型为证券公司发行的收益凭证，资产到期日不超过理财产品到期日，融资人为中信证券股份有限公司，融资人评级为AAA（评级机构为中诚信国际信用评级有限责任公司）。</w:t>
            </w:r>
          </w:p>
          <w:p w14:paraId="710B2538">
            <w:pPr>
              <w:spacing w:line="240" w:lineRule="auto"/>
              <w:rPr>
                <w:sz w:val="28"/>
                <w:szCs w:val="28"/>
              </w:rPr>
            </w:pPr>
            <w:r>
              <w:rPr>
                <w:rFonts w:ascii="方正黑体_GBK" w:hAnsi="方正黑体_GBK" w:eastAsia="方正黑体_GBK" w:cs="宋体"/>
                <w:sz w:val="22"/>
                <w:szCs w:val="22"/>
              </w:rPr>
              <w:t>12.  券商收益凭证：资产类型为证券公司发行的收益凭证，资产到期日不超过理财产品到期日，融资人为华泰证券股份有限公司，融资人评级为AAA（评级机构为上海新世纪资信评估投资服务有限公司）。</w:t>
            </w:r>
          </w:p>
          <w:p w14:paraId="6C6FE2BD">
            <w:pPr>
              <w:spacing w:line="240" w:lineRule="auto"/>
              <w:rPr>
                <w:sz w:val="28"/>
                <w:szCs w:val="28"/>
              </w:rPr>
            </w:pPr>
            <w:r>
              <w:rPr>
                <w:rFonts w:ascii="方正黑体_GBK" w:hAnsi="方正黑体_GBK" w:eastAsia="方正黑体_GBK" w:cs="宋体"/>
                <w:sz w:val="22"/>
                <w:szCs w:val="22"/>
              </w:rPr>
              <w:t>13.  券商收益凭证：资产类型为证券公司发行的收益凭证，资产到期日不超过理财产品到期日，融资人为中信建投证券股份有限公司，融资人评级为AAA（评级机构为中诚信国际信用评级有限责任公司）。</w:t>
            </w:r>
          </w:p>
          <w:p w14:paraId="151BEACF">
            <w:pPr>
              <w:spacing w:line="240" w:lineRule="auto"/>
              <w:rPr>
                <w:sz w:val="28"/>
                <w:szCs w:val="28"/>
              </w:rPr>
            </w:pPr>
            <w:r>
              <w:rPr>
                <w:rFonts w:ascii="方正黑体_GBK" w:hAnsi="方正黑体_GBK" w:eastAsia="方正黑体_GBK" w:cs="宋体"/>
                <w:sz w:val="22"/>
                <w:szCs w:val="22"/>
              </w:rPr>
              <w:t>14.  券商收益凭证：资产类型为证券公司发行的收益凭证，资产到期日不超过理财产品到期日，融资人为中国银河证券股份有限公司，融资人评级为AAA（评级机构为联合资信评估股份有限公司）。</w:t>
            </w:r>
          </w:p>
          <w:p w14:paraId="2B4C3D4D">
            <w:pPr>
              <w:spacing w:line="240" w:lineRule="auto"/>
              <w:rPr>
                <w:sz w:val="28"/>
                <w:szCs w:val="28"/>
              </w:rPr>
            </w:pPr>
            <w:r>
              <w:rPr>
                <w:rFonts w:ascii="方正黑体_GBK" w:hAnsi="方正黑体_GBK" w:eastAsia="方正黑体_GBK" w:cs="宋体"/>
                <w:sz w:val="22"/>
                <w:szCs w:val="22"/>
              </w:rPr>
              <w:t>15.  券商收益凭证：资产类型为证券公司发行的收益凭证，资产到期日不超过理财产品到期日，融资人为申万宏源证券有限公司，融资人评级为AAA（评级机构为联合资信评估股份有限公司）。</w:t>
            </w:r>
          </w:p>
          <w:p w14:paraId="52E253C0">
            <w:pPr>
              <w:spacing w:line="240" w:lineRule="auto"/>
              <w:rPr>
                <w:sz w:val="28"/>
                <w:szCs w:val="28"/>
              </w:rPr>
            </w:pPr>
            <w:r>
              <w:rPr>
                <w:rFonts w:ascii="方正黑体_GBK" w:hAnsi="方正黑体_GBK" w:eastAsia="方正黑体_GBK" w:cs="宋体"/>
                <w:sz w:val="22"/>
                <w:szCs w:val="22"/>
              </w:rPr>
              <w:t>16.  券商收益凭证：资产类型为证券公司发行的收益凭证，资产到期日不超过理财产品到期日，融资人为中国国际金融股份有限公司，融资人评级为AAA（评级机构为中诚信国际信用评级有限责任公司）。</w:t>
            </w:r>
          </w:p>
          <w:p w14:paraId="295654C7">
            <w:pPr>
              <w:spacing w:line="240" w:lineRule="auto"/>
              <w:rPr>
                <w:sz w:val="28"/>
                <w:szCs w:val="28"/>
              </w:rPr>
            </w:pPr>
            <w:r>
              <w:rPr>
                <w:rFonts w:ascii="方正黑体_GBK" w:hAnsi="方正黑体_GBK" w:eastAsia="方正黑体_GBK" w:cs="宋体"/>
                <w:sz w:val="22"/>
                <w:szCs w:val="22"/>
              </w:rPr>
              <w:t>17.  券商收益凭证：资产类型为证券公司发行的收益凭证，资产到期日不超过理财产品到期日，融资人为招商证券股份有限公司，融资人评级为AAA（评级机构为联合资信评估股份有限公司）。</w:t>
            </w:r>
          </w:p>
          <w:p w14:paraId="0C60BB8C">
            <w:pPr>
              <w:spacing w:line="240" w:lineRule="auto"/>
              <w:rPr>
                <w:sz w:val="28"/>
                <w:szCs w:val="28"/>
              </w:rPr>
            </w:pPr>
            <w:r>
              <w:rPr>
                <w:rFonts w:ascii="方正黑体_GBK" w:hAnsi="方正黑体_GBK" w:eastAsia="方正黑体_GBK" w:cs="宋体"/>
                <w:sz w:val="22"/>
                <w:szCs w:val="22"/>
              </w:rPr>
              <w:t>18.  券商收益凭证：资产类型为证券公司发行的收益凭证，资产到期日不超过理财产品到期日，融资人为平安证券股份有限公司，融资人评级为AAA（评级机构为中诚信国际信用评级有限责任公司）。</w:t>
            </w:r>
          </w:p>
          <w:p w14:paraId="5533E531">
            <w:pPr>
              <w:spacing w:line="240" w:lineRule="auto"/>
              <w:rPr>
                <w:sz w:val="28"/>
                <w:szCs w:val="28"/>
              </w:rPr>
            </w:pPr>
            <w:r>
              <w:rPr>
                <w:rFonts w:ascii="方正黑体_GBK" w:hAnsi="方正黑体_GBK" w:eastAsia="方正黑体_GBK" w:cs="宋体"/>
                <w:sz w:val="22"/>
                <w:szCs w:val="22"/>
              </w:rPr>
              <w:t>19.  券商收益凭证：资产类型为证券公司发行的收益凭证，资产到期日不超过理财产品到期日，融资人为广发证券股份有限公司，融资人评级为AAA（评级机构为中诚信国际信用评级有限责任公司）。</w:t>
            </w:r>
          </w:p>
          <w:p w14:paraId="5D339A81">
            <w:pPr>
              <w:spacing w:line="240" w:lineRule="auto"/>
              <w:rPr>
                <w:sz w:val="28"/>
                <w:szCs w:val="28"/>
              </w:rPr>
            </w:pPr>
            <w:r>
              <w:rPr>
                <w:rFonts w:ascii="方正黑体_GBK" w:hAnsi="方正黑体_GBK" w:eastAsia="方正黑体_GBK" w:cs="宋体"/>
                <w:sz w:val="22"/>
                <w:szCs w:val="22"/>
              </w:rPr>
              <w:t>20.  券商收益凭证：资产类型为证券公司发行的收益凭证，资产到期日不超过理财产品到期日，融资人为国信证券股份有限公司，融资人评级为AAA（评级机构为中诚信国际信用评级有限责任公司）。</w:t>
            </w:r>
          </w:p>
          <w:p w14:paraId="6A95BBA9">
            <w:pPr>
              <w:spacing w:line="240" w:lineRule="auto"/>
              <w:rPr>
                <w:sz w:val="28"/>
                <w:szCs w:val="28"/>
              </w:rPr>
            </w:pPr>
            <w:r>
              <w:rPr>
                <w:rFonts w:ascii="方正黑体_GBK" w:hAnsi="方正黑体_GBK" w:eastAsia="方正黑体_GBK" w:cs="宋体"/>
                <w:sz w:val="22"/>
                <w:szCs w:val="22"/>
              </w:rPr>
              <w:t>21.  券商收益凭证：资产类型为证券公司发行的收益凭证，资产到期日不超过理财产品到期日，融资人为兴业证券股份有限公司，融资人评级为AAA（评级机构为联合资信评估股份有限公司）。</w:t>
            </w:r>
          </w:p>
          <w:p w14:paraId="7D4919A7">
            <w:pPr>
              <w:spacing w:line="240" w:lineRule="auto"/>
              <w:rPr>
                <w:sz w:val="28"/>
                <w:szCs w:val="28"/>
              </w:rPr>
            </w:pPr>
            <w:r>
              <w:rPr>
                <w:rFonts w:ascii="方正黑体_GBK" w:hAnsi="方正黑体_GBK" w:eastAsia="方正黑体_GBK" w:cs="宋体"/>
                <w:sz w:val="22"/>
                <w:szCs w:val="22"/>
              </w:rPr>
              <w:t>22.  券商收益凭证：资产类型为证券公司发行的收益凭证，资产到期日不超过理财产品到期日，融资人为光大证券股份有限公司，融资人评级为AAA（评级机构为联合资信评估股份有限公司）。</w:t>
            </w:r>
          </w:p>
          <w:p w14:paraId="6E2B1E9A">
            <w:pPr>
              <w:spacing w:line="240" w:lineRule="auto"/>
              <w:rPr>
                <w:sz w:val="28"/>
                <w:szCs w:val="28"/>
              </w:rPr>
            </w:pPr>
            <w:r>
              <w:rPr>
                <w:rFonts w:ascii="方正黑体_GBK" w:hAnsi="方正黑体_GBK" w:eastAsia="方正黑体_GBK" w:cs="宋体"/>
                <w:sz w:val="22"/>
                <w:szCs w:val="22"/>
              </w:rPr>
              <w:t>23.  券商收益凭证：资产类型为证券公司发行的收益凭证，资产到期日不超过理财产品到期日，融资人为华鑫证券有限责任公司，融资人评级为AA+（评级机构为上海新世纪资信评估投资服务有限公司）。</w:t>
            </w:r>
          </w:p>
          <w:p w14:paraId="565BF660">
            <w:pPr>
              <w:spacing w:line="240" w:lineRule="auto"/>
              <w:rPr>
                <w:sz w:val="28"/>
                <w:szCs w:val="28"/>
              </w:rPr>
            </w:pPr>
            <w:r>
              <w:rPr>
                <w:rFonts w:ascii="方正黑体_GBK" w:hAnsi="方正黑体_GBK" w:eastAsia="方正黑体_GBK" w:cs="宋体"/>
                <w:sz w:val="22"/>
                <w:szCs w:val="22"/>
              </w:rPr>
              <w:t>24.  券商收益凭证：资产类型为证券公司发行的收益凭证，资产到期日不超过理财产品到期日，融资人为财通证券股份有限公司，融资人评级为AAA（评级机构为中诚信国际信用评级有限责任公司）。</w:t>
            </w:r>
          </w:p>
          <w:p w14:paraId="1493B8CF">
            <w:pPr>
              <w:spacing w:line="240" w:lineRule="auto"/>
              <w:rPr>
                <w:sz w:val="28"/>
                <w:szCs w:val="28"/>
              </w:rPr>
            </w:pPr>
            <w:r>
              <w:rPr>
                <w:rFonts w:ascii="方正黑体_GBK" w:hAnsi="方正黑体_GBK" w:eastAsia="方正黑体_GBK" w:cs="宋体"/>
                <w:sz w:val="22"/>
                <w:szCs w:val="22"/>
              </w:rPr>
              <w:t>25.  券商收益凭证：资产类型为证券公司发行的收益凭证，资产到期日不超过理财产品到期日，融资人为长江证券股份有限公司，融资人评级为AAA（评级机构为联合资信评估股份有限公司）。</w:t>
            </w:r>
          </w:p>
          <w:p w14:paraId="055D6110">
            <w:pPr>
              <w:spacing w:line="240" w:lineRule="auto"/>
              <w:rPr>
                <w:sz w:val="28"/>
                <w:szCs w:val="28"/>
              </w:rPr>
            </w:pPr>
            <w:r>
              <w:rPr>
                <w:rFonts w:ascii="方正黑体_GBK" w:hAnsi="方正黑体_GBK" w:eastAsia="方正黑体_GBK" w:cs="宋体"/>
                <w:sz w:val="22"/>
                <w:szCs w:val="22"/>
              </w:rPr>
              <w:t>26.  券商收益凭证：资产类型为证券公司发行的收益凭证，资产到期日不超过理财产品到期日，融资人为国金证券股份有限公司，融资人评级为AAA（评级机构为上海新世纪资信评估投资服务有限公司）。</w:t>
            </w:r>
          </w:p>
          <w:p w14:paraId="07226E1A">
            <w:pPr>
              <w:spacing w:line="240" w:lineRule="auto"/>
              <w:rPr>
                <w:sz w:val="28"/>
                <w:szCs w:val="28"/>
              </w:rPr>
            </w:pPr>
            <w:r>
              <w:rPr>
                <w:rFonts w:ascii="方正黑体_GBK" w:hAnsi="方正黑体_GBK" w:eastAsia="方正黑体_GBK" w:cs="宋体"/>
                <w:sz w:val="22"/>
                <w:szCs w:val="22"/>
              </w:rPr>
              <w:t>27.  券商收益凭证：资产类型为证券公司发行的收益凭证，资产到期日不超过理财产品到期日，融资人为东方证券股份有限公司，融资人评级为AAA（评级机构为中诚信国际信用评级有限责任公司）。</w:t>
            </w:r>
          </w:p>
          <w:p w14:paraId="342CE3D3">
            <w:pPr>
              <w:spacing w:line="240" w:lineRule="auto"/>
              <w:rPr>
                <w:sz w:val="28"/>
                <w:szCs w:val="28"/>
              </w:rPr>
            </w:pPr>
            <w:r>
              <w:rPr>
                <w:rFonts w:ascii="方正黑体_GBK" w:hAnsi="方正黑体_GBK" w:eastAsia="方正黑体_GBK" w:cs="宋体"/>
                <w:sz w:val="22"/>
                <w:szCs w:val="22"/>
              </w:rPr>
              <w:t>28.  券商收益凭证：资产类型为证券公司发行的收益凭证，资产到期日不超过理财产品到期日，融资人为国投证券股份有限公司，融资人评级为AAA（评级机构为联合资信评估股份有限公司）。</w:t>
            </w:r>
          </w:p>
          <w:p w14:paraId="19F7D68A">
            <w:pPr>
              <w:spacing w:line="240" w:lineRule="auto"/>
              <w:rPr>
                <w:sz w:val="28"/>
                <w:szCs w:val="28"/>
              </w:rPr>
            </w:pPr>
            <w:r>
              <w:rPr>
                <w:rFonts w:ascii="方正黑体_GBK" w:hAnsi="方正黑体_GBK" w:eastAsia="方正黑体_GBK" w:cs="宋体"/>
                <w:b/>
                <w:sz w:val="22"/>
                <w:szCs w:val="22"/>
              </w:rPr>
              <w:t>以上资产剩余期限均不超过产品期限。</w:t>
            </w:r>
          </w:p>
          <w:p w14:paraId="43279A6F">
            <w:pPr>
              <w:spacing w:line="240" w:lineRule="auto"/>
              <w:rPr>
                <w:sz w:val="28"/>
                <w:szCs w:val="28"/>
              </w:rPr>
            </w:pPr>
            <w:r>
              <w:rPr>
                <w:rFonts w:ascii="方正黑体_GBK" w:hAnsi="方正黑体_GBK" w:eastAsia="方正黑体_GBK" w:cs="宋体"/>
                <w:b/>
                <w:sz w:val="22"/>
                <w:szCs w:val="22"/>
              </w:rPr>
              <w:t>因产品实际募集规模和融资人资金需求存在不确定性，产品管理人将选择上述一笔或者多笔作为本理财产品投资的非标准化债权类资产，并在本理财产品的定期报告中进行信息披露。</w:t>
            </w:r>
          </w:p>
        </w:tc>
      </w:tr>
      <w:tr w14:paraId="2E9180BC">
        <w:trPr>
          <w:trHeight w:val="35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48F4E7C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s="Times New Roman"/>
                <w:caps w:val="0"/>
                <w:smallCaps w:val="0"/>
                <w:snapToGrid/>
                <w:vanish w:val="0"/>
                <w:color w:val="auto"/>
                <w:kern w:val="0"/>
                <w:sz w:val="22"/>
                <w:szCs w:val="22"/>
                <w:vertAlign w:val="baseline"/>
              </w:rPr>
            </w:pPr>
            <w:r>
              <w:rPr>
                <w:rFonts w:hint="eastAsia" w:ascii="方正黑体_GBK" w:hAnsi="方正黑体_GBK" w:eastAsia="方正黑体_GBK" w:cs="Times New Roman"/>
                <w:bCs/>
                <w:caps w:val="0"/>
                <w:smallCaps w:val="0"/>
                <w:snapToGrid/>
                <w:vanish w:val="0"/>
                <w:color w:val="auto"/>
                <w:kern w:val="0"/>
                <w:sz w:val="22"/>
                <w:szCs w:val="22"/>
                <w:vertAlign w:val="baseline"/>
              </w:rPr>
              <w:t>业绩比较基准</w:t>
            </w:r>
          </w:p>
        </w:tc>
        <w:tc>
          <w:tcPr>
            <w:tcW w:w="5543" w:type="dxa"/>
            <w:tcBorders>
              <w:top w:val="single" w:color="auto" w:sz="4" w:space="0"/>
              <w:left w:val="nil"/>
              <w:bottom w:val="single" w:color="auto" w:sz="4" w:space="0"/>
              <w:right w:val="single" w:color="auto" w:sz="4" w:space="0"/>
              <w:tl2br w:val="nil"/>
              <w:tr2bl w:val="nil"/>
            </w:tcBorders>
            <w:vAlign w:val="center"/>
          </w:tcPr>
          <w:p w14:paraId="60937CAB">
            <w:pPr>
              <w:spacing w:line="240" w:lineRule="auto"/>
              <w:rPr>
                <w:sz w:val="28"/>
                <w:szCs w:val="28"/>
              </w:rPr>
            </w:pPr>
            <w:r>
              <w:rPr>
                <w:rFonts w:ascii="方正黑体_GBK" w:hAnsi="方正黑体_GBK" w:eastAsia="方正黑体_GBK" w:cs="宋体"/>
                <w:sz w:val="22"/>
                <w:szCs w:val="22"/>
              </w:rPr>
              <w:t>A份额：业绩比较基准为1.73%(年化)。</w:t>
            </w:r>
          </w:p>
          <w:p w14:paraId="2D2480AB">
            <w:pPr>
              <w:spacing w:line="240" w:lineRule="auto"/>
              <w:rPr>
                <w:sz w:val="28"/>
                <w:szCs w:val="28"/>
              </w:rPr>
            </w:pPr>
            <w:r>
              <w:rPr>
                <w:rFonts w:ascii="方正黑体_GBK" w:hAnsi="方正黑体_GBK" w:eastAsia="方正黑体_GBK" w:cs="宋体"/>
                <w:sz w:val="22"/>
                <w:szCs w:val="22"/>
              </w:rPr>
              <w:t>B份额：业绩比较基准为1.83%(年化)。</w:t>
            </w:r>
          </w:p>
          <w:p w14:paraId="20D902B1">
            <w:pPr>
              <w:spacing w:line="240" w:lineRule="auto"/>
              <w:rPr>
                <w:sz w:val="28"/>
                <w:szCs w:val="28"/>
              </w:rPr>
            </w:pPr>
            <w:r>
              <w:rPr>
                <w:rFonts w:ascii="方正黑体_GBK" w:hAnsi="方正黑体_GBK" w:eastAsia="方正黑体_GBK" w:cs="宋体"/>
                <w:sz w:val="22"/>
                <w:szCs w:val="22"/>
              </w:rPr>
              <w:t>C份额：业绩比较基准为1.93%(年化)。</w:t>
            </w:r>
          </w:p>
          <w:p w14:paraId="6A2B031A">
            <w:pPr>
              <w:spacing w:line="240" w:lineRule="auto"/>
              <w:rPr>
                <w:sz w:val="28"/>
                <w:szCs w:val="28"/>
              </w:rPr>
            </w:pPr>
            <w:r>
              <w:rPr>
                <w:rFonts w:ascii="方正黑体_GBK" w:hAnsi="方正黑体_GBK" w:eastAsia="方正黑体_GBK" w:cs="宋体"/>
                <w:sz w:val="22"/>
                <w:szCs w:val="22"/>
              </w:rPr>
              <w:t>E份额：业绩比较基准为1.88%(年化)。</w:t>
            </w:r>
          </w:p>
          <w:p w14:paraId="30D6320A">
            <w:pPr>
              <w:spacing w:line="240" w:lineRule="auto"/>
              <w:rPr>
                <w:sz w:val="28"/>
                <w:szCs w:val="28"/>
              </w:rPr>
            </w:pPr>
            <w:r>
              <w:rPr>
                <w:rFonts w:ascii="方正黑体_GBK" w:hAnsi="方正黑体_GBK" w:eastAsia="方正黑体_GBK" w:cs="宋体"/>
                <w:sz w:val="22"/>
                <w:szCs w:val="22"/>
              </w:rPr>
              <w:t>J份额：业绩比较基准为1.73%(年化)。</w:t>
            </w:r>
          </w:p>
          <w:p w14:paraId="228890A0">
            <w:pPr>
              <w:spacing w:line="240" w:lineRule="auto"/>
              <w:rPr>
                <w:sz w:val="28"/>
                <w:szCs w:val="28"/>
              </w:rPr>
            </w:pPr>
            <w:r>
              <w:rPr>
                <w:rFonts w:ascii="方正黑体_GBK" w:hAnsi="方正黑体_GBK" w:eastAsia="方正黑体_GBK" w:cs="宋体"/>
                <w:sz w:val="22"/>
                <w:szCs w:val="22"/>
              </w:rPr>
              <w:t>K份额：业绩比较基准为1.98%(年化)。</w:t>
            </w:r>
          </w:p>
          <w:p w14:paraId="5C3221A9">
            <w:pPr>
              <w:spacing w:line="240" w:lineRule="auto"/>
              <w:rPr>
                <w:sz w:val="28"/>
                <w:szCs w:val="28"/>
              </w:rPr>
            </w:pPr>
            <w:r>
              <w:rPr>
                <w:rFonts w:ascii="方正黑体_GBK" w:hAnsi="方正黑体_GBK" w:eastAsia="方正黑体_GBK" w:cs="宋体"/>
                <w:sz w:val="22"/>
                <w:szCs w:val="22"/>
              </w:rPr>
              <w:t>L份额：业绩比较基准为1.98%(年化)。</w:t>
            </w:r>
          </w:p>
          <w:p w14:paraId="20200109">
            <w:pPr>
              <w:spacing w:line="240" w:lineRule="auto"/>
              <w:rPr>
                <w:sz w:val="28"/>
                <w:szCs w:val="28"/>
              </w:rPr>
            </w:pPr>
            <w:r>
              <w:rPr>
                <w:rFonts w:ascii="方正黑体_GBK" w:hAnsi="方正黑体_GBK" w:eastAsia="方正黑体_GBK" w:cs="宋体"/>
                <w:sz w:val="22"/>
                <w:szCs w:val="22"/>
              </w:rPr>
              <w:t>N份额：业绩比较基准为1.73%(年化)。</w:t>
            </w:r>
          </w:p>
          <w:p w14:paraId="60145B51">
            <w:pPr>
              <w:spacing w:line="240" w:lineRule="auto"/>
              <w:rPr>
                <w:sz w:val="28"/>
                <w:szCs w:val="28"/>
              </w:rPr>
            </w:pPr>
            <w:r>
              <w:rPr>
                <w:rFonts w:ascii="方正黑体_GBK" w:hAnsi="方正黑体_GBK" w:eastAsia="方正黑体_GBK" w:cs="宋体"/>
                <w:sz w:val="22"/>
                <w:szCs w:val="22"/>
              </w:rPr>
              <w:t>O份额：业绩比较基准为1.93%(年化)。</w:t>
            </w:r>
          </w:p>
          <w:p w14:paraId="5E60CC8A">
            <w:pPr>
              <w:spacing w:line="240" w:lineRule="auto"/>
              <w:rPr>
                <w:sz w:val="28"/>
                <w:szCs w:val="28"/>
              </w:rPr>
            </w:pPr>
            <w:r>
              <w:rPr>
                <w:rFonts w:ascii="方正黑体_GBK" w:hAnsi="方正黑体_GBK" w:eastAsia="方正黑体_GBK" w:cs="宋体"/>
                <w:sz w:val="22"/>
                <w:szCs w:val="22"/>
              </w:rPr>
              <w:t>A2份额：业绩比较基准为1.73%(年化)。</w:t>
            </w:r>
          </w:p>
          <w:p w14:paraId="5951267B">
            <w:pPr>
              <w:spacing w:line="240" w:lineRule="auto"/>
              <w:rPr>
                <w:sz w:val="28"/>
                <w:szCs w:val="28"/>
              </w:rPr>
            </w:pPr>
            <w:r>
              <w:rPr>
                <w:rFonts w:ascii="方正黑体_GBK" w:hAnsi="方正黑体_GBK" w:eastAsia="方正黑体_GBK" w:cs="宋体"/>
                <w:sz w:val="22"/>
                <w:szCs w:val="22"/>
              </w:rPr>
              <w:t>本产品不同份额针对不同的销售机构及客群进行销售，设置有不同的销售费和管理费，导致业绩基准测算结果不同。</w:t>
            </w:r>
          </w:p>
          <w:p w14:paraId="1D8C2FA2">
            <w:pPr>
              <w:spacing w:line="240" w:lineRule="auto"/>
              <w:rPr>
                <w:sz w:val="28"/>
                <w:szCs w:val="28"/>
              </w:rPr>
            </w:pPr>
            <w:r>
              <w:rPr>
                <w:rFonts w:ascii="方正黑体_GBK" w:hAnsi="方正黑体_GBK" w:eastAsia="方正黑体_GBK" w:cs="宋体"/>
                <w:sz w:val="22"/>
                <w:szCs w:val="22"/>
              </w:rPr>
              <w:t>本理财产品业绩比较基准是管理人基于过往投资经验、对产品存续期拟投资标的和相应投资市场波动的预判设定的投资目标。本理财产品投资于固定收益类资产的比例不低于80%,投资于非标准化债权类资产的比例不高于50%。结合债券市场和拟投资的非标准化债权类资产的收益和波动水平预判，在本理财产品约定的投资策略基础上，管理人设定了本理财产品投资周期内的业绩比较基准。</w:t>
            </w:r>
          </w:p>
          <w:p w14:paraId="1DC61A47">
            <w:pPr>
              <w:spacing w:line="240" w:lineRule="auto"/>
              <w:rPr>
                <w:sz w:val="28"/>
                <w:szCs w:val="28"/>
              </w:rPr>
            </w:pPr>
            <w:r>
              <w:rPr>
                <w:rFonts w:ascii="方正黑体_GBK" w:hAnsi="方正黑体_GBK" w:eastAsia="方正黑体_GBK" w:cs="宋体"/>
                <w:b/>
                <w:sz w:val="22"/>
                <w:szCs w:val="22"/>
              </w:rPr>
              <w:t>本理财产品为净值型理财产品，业绩比较基准不是预期收益率，不代表产品的未来表现和实际收益，不构成对产品收益的承诺。</w:t>
            </w:r>
          </w:p>
        </w:tc>
      </w:tr>
      <w:tr w14:paraId="54E86AF4">
        <w:trPr>
          <w:trHeight w:val="35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0C3437F7">
            <w:pPr>
              <w:keepNext w:val="0"/>
              <w:keepLines w:val="0"/>
              <w:pageBreakBefore w:val="0"/>
              <w:widowControl/>
              <w:suppressLineNumbers w:val="0"/>
              <w:suppressAutoHyphens w:val="0"/>
              <w:spacing w:line="240" w:lineRule="auto"/>
              <w:jc w:val="left"/>
              <w:rPr>
                <w:rFonts w:ascii="方正黑体_GBK" w:hAnsi="方正黑体_GBK" w:eastAsia="方正黑体_GBK" w:cs="Times New Roman"/>
                <w:bCs/>
                <w:caps w:val="0"/>
                <w:smallCaps w:val="0"/>
                <w:snapToGrid/>
                <w:vanish w:val="0"/>
                <w:color w:val="auto"/>
                <w:kern w:val="0"/>
                <w:sz w:val="22"/>
                <w:szCs w:val="22"/>
                <w:vertAlign w:val="baseline"/>
              </w:rPr>
            </w:pPr>
            <w:r>
              <w:rPr>
                <w:rFonts w:hint="eastAsia" w:ascii="方正黑体_GBK" w:hAnsi="方正黑体_GBK" w:eastAsia="方正黑体_GBK" w:cs="Times New Roman"/>
                <w:caps w:val="0"/>
                <w:smallCaps w:val="0"/>
                <w:snapToGrid/>
                <w:vanish w:val="0"/>
                <w:color w:val="auto"/>
                <w:kern w:val="0"/>
                <w:sz w:val="22"/>
                <w:szCs w:val="22"/>
                <w:vertAlign w:val="baseline"/>
              </w:rPr>
              <w:t>产品</w:t>
            </w:r>
            <w:r>
              <w:rPr>
                <w:rFonts w:hint="eastAsia" w:ascii="方正黑体_GBK" w:hAnsi="方正黑体_GBK" w:eastAsia="方正黑体_GBK"/>
                <w:caps w:val="0"/>
                <w:smallCaps w:val="0"/>
                <w:snapToGrid/>
                <w:vanish w:val="0"/>
                <w:color w:val="auto"/>
                <w:kern w:val="0"/>
                <w:sz w:val="22"/>
                <w:szCs w:val="22"/>
                <w:vertAlign w:val="baseline"/>
              </w:rPr>
              <w:t>费用</w:t>
            </w:r>
          </w:p>
        </w:tc>
        <w:tc>
          <w:tcPr>
            <w:tcW w:w="5543" w:type="dxa"/>
            <w:tcBorders>
              <w:top w:val="single" w:color="auto" w:sz="4" w:space="0"/>
              <w:left w:val="nil"/>
              <w:bottom w:val="single" w:color="auto" w:sz="4" w:space="0"/>
              <w:right w:val="single" w:color="auto" w:sz="4" w:space="0"/>
              <w:tl2br w:val="nil"/>
              <w:tr2bl w:val="nil"/>
            </w:tcBorders>
            <w:vAlign w:val="center"/>
          </w:tcPr>
          <w:p w14:paraId="7EA47DE1">
            <w:pPr>
              <w:spacing w:line="240" w:lineRule="auto"/>
              <w:rPr>
                <w:sz w:val="28"/>
                <w:szCs w:val="28"/>
              </w:rPr>
            </w:pPr>
            <w:r>
              <w:rPr>
                <w:rFonts w:ascii="方正黑体_GBK" w:hAnsi="方正黑体_GBK" w:eastAsia="方正黑体_GBK" w:cs="宋体"/>
                <w:b/>
                <w:sz w:val="22"/>
                <w:szCs w:val="22"/>
              </w:rPr>
              <w:t>认/申购费：本理财产品暂不收取认/申购费。</w:t>
            </w:r>
          </w:p>
          <w:p w14:paraId="335FC760">
            <w:pPr>
              <w:spacing w:line="240" w:lineRule="auto"/>
              <w:rPr>
                <w:sz w:val="28"/>
                <w:szCs w:val="28"/>
              </w:rPr>
            </w:pPr>
            <w:r>
              <w:rPr>
                <w:rFonts w:ascii="方正黑体_GBK" w:hAnsi="方正黑体_GBK" w:eastAsia="方正黑体_GBK" w:cs="宋体"/>
                <w:b/>
                <w:sz w:val="22"/>
                <w:szCs w:val="22"/>
              </w:rPr>
              <w:t>赎回费：本理财产品暂不收取赎回费。</w:t>
            </w:r>
          </w:p>
          <w:p w14:paraId="4A7636C1">
            <w:pPr>
              <w:spacing w:line="240" w:lineRule="auto"/>
              <w:rPr>
                <w:sz w:val="28"/>
                <w:szCs w:val="28"/>
              </w:rPr>
            </w:pPr>
            <w:r>
              <w:rPr>
                <w:rFonts w:ascii="方正黑体_GBK" w:hAnsi="方正黑体_GBK" w:eastAsia="方正黑体_GBK" w:cs="宋体"/>
                <w:b/>
                <w:sz w:val="22"/>
                <w:szCs w:val="22"/>
              </w:rPr>
              <w:t>销售费：</w:t>
            </w:r>
          </w:p>
          <w:p w14:paraId="75204F78">
            <w:pPr>
              <w:spacing w:line="240" w:lineRule="auto"/>
              <w:rPr>
                <w:sz w:val="28"/>
                <w:szCs w:val="28"/>
              </w:rPr>
            </w:pPr>
            <w:r>
              <w:rPr>
                <w:rFonts w:ascii="方正黑体_GBK" w:hAnsi="方正黑体_GBK" w:eastAsia="方正黑体_GBK" w:cs="宋体"/>
                <w:b/>
                <w:sz w:val="22"/>
                <w:szCs w:val="22"/>
              </w:rPr>
              <w:t>A份额，J份额：</w:t>
            </w:r>
          </w:p>
          <w:p w14:paraId="17CC1242">
            <w:pPr>
              <w:spacing w:line="240" w:lineRule="auto"/>
              <w:rPr>
                <w:sz w:val="28"/>
                <w:szCs w:val="28"/>
              </w:rPr>
            </w:pPr>
            <w:r>
              <w:rPr>
                <w:rFonts w:ascii="方正黑体_GBK" w:hAnsi="方正黑体_GBK" w:eastAsia="方正黑体_GBK" w:cs="宋体"/>
                <w:b/>
                <w:sz w:val="22"/>
                <w:szCs w:val="22"/>
              </w:rPr>
              <w:t>本理财产品按前一日理财产品资产净值收取年化0.2%的销售费，按日计提。</w:t>
            </w:r>
          </w:p>
          <w:p w14:paraId="796623EC">
            <w:pPr>
              <w:spacing w:line="240" w:lineRule="auto"/>
              <w:rPr>
                <w:sz w:val="28"/>
                <w:szCs w:val="28"/>
              </w:rPr>
            </w:pPr>
            <w:r>
              <w:rPr>
                <w:rFonts w:ascii="方正黑体_GBK" w:hAnsi="方正黑体_GBK" w:eastAsia="方正黑体_GBK" w:cs="宋体"/>
                <w:b/>
                <w:sz w:val="22"/>
                <w:szCs w:val="22"/>
              </w:rPr>
              <w:t>每日计提的销售费=前一日理财产品资产净值×年化销售费率÷365</w:t>
            </w:r>
          </w:p>
          <w:p w14:paraId="43A2A912">
            <w:pPr>
              <w:spacing w:line="240" w:lineRule="auto"/>
              <w:rPr>
                <w:sz w:val="28"/>
                <w:szCs w:val="28"/>
              </w:rPr>
            </w:pPr>
            <w:r>
              <w:rPr>
                <w:rFonts w:ascii="方正黑体_GBK" w:hAnsi="方正黑体_GBK" w:eastAsia="方正黑体_GBK" w:cs="宋体"/>
                <w:b/>
                <w:sz w:val="22"/>
                <w:szCs w:val="22"/>
              </w:rPr>
              <w:t>B份额：</w:t>
            </w:r>
          </w:p>
          <w:p w14:paraId="5B8A57FB">
            <w:pPr>
              <w:spacing w:line="240" w:lineRule="auto"/>
              <w:rPr>
                <w:sz w:val="28"/>
                <w:szCs w:val="28"/>
              </w:rPr>
            </w:pPr>
            <w:r>
              <w:rPr>
                <w:rFonts w:ascii="方正黑体_GBK" w:hAnsi="方正黑体_GBK" w:eastAsia="方正黑体_GBK" w:cs="宋体"/>
                <w:b/>
                <w:sz w:val="22"/>
                <w:szCs w:val="22"/>
              </w:rPr>
              <w:t>本理财产品按前一日理财产品资产净值收取年化0.15%的销售费，按日计提。</w:t>
            </w:r>
          </w:p>
          <w:p w14:paraId="0C97BD4F">
            <w:pPr>
              <w:spacing w:line="240" w:lineRule="auto"/>
              <w:rPr>
                <w:sz w:val="28"/>
                <w:szCs w:val="28"/>
              </w:rPr>
            </w:pPr>
            <w:r>
              <w:rPr>
                <w:rFonts w:ascii="方正黑体_GBK" w:hAnsi="方正黑体_GBK" w:eastAsia="方正黑体_GBK" w:cs="宋体"/>
                <w:b/>
                <w:sz w:val="22"/>
                <w:szCs w:val="22"/>
              </w:rPr>
              <w:t>每日计提的销售费=前一日理财产品资产净值×年化销售费率÷365</w:t>
            </w:r>
          </w:p>
          <w:p w14:paraId="70C3863D">
            <w:pPr>
              <w:spacing w:line="240" w:lineRule="auto"/>
              <w:rPr>
                <w:sz w:val="28"/>
                <w:szCs w:val="28"/>
              </w:rPr>
            </w:pPr>
            <w:r>
              <w:rPr>
                <w:rFonts w:ascii="方正黑体_GBK" w:hAnsi="方正黑体_GBK" w:eastAsia="方正黑体_GBK" w:cs="宋体"/>
                <w:b/>
                <w:sz w:val="22"/>
                <w:szCs w:val="22"/>
              </w:rPr>
              <w:t>C份额，K份额，L份额：</w:t>
            </w:r>
          </w:p>
          <w:p w14:paraId="3C509EFF">
            <w:pPr>
              <w:spacing w:line="240" w:lineRule="auto"/>
              <w:rPr>
                <w:sz w:val="28"/>
                <w:szCs w:val="28"/>
              </w:rPr>
            </w:pPr>
            <w:r>
              <w:rPr>
                <w:rFonts w:ascii="方正黑体_GBK" w:hAnsi="方正黑体_GBK" w:eastAsia="方正黑体_GBK" w:cs="宋体"/>
                <w:b/>
                <w:sz w:val="22"/>
                <w:szCs w:val="22"/>
              </w:rPr>
              <w:t>本理财产品按前一日理财产品资产净值收取年化0.05%的销售费，按日计提。</w:t>
            </w:r>
          </w:p>
          <w:p w14:paraId="297C0701">
            <w:pPr>
              <w:spacing w:line="240" w:lineRule="auto"/>
              <w:rPr>
                <w:sz w:val="28"/>
                <w:szCs w:val="28"/>
              </w:rPr>
            </w:pPr>
            <w:r>
              <w:rPr>
                <w:rFonts w:ascii="方正黑体_GBK" w:hAnsi="方正黑体_GBK" w:eastAsia="方正黑体_GBK" w:cs="宋体"/>
                <w:b/>
                <w:sz w:val="22"/>
                <w:szCs w:val="22"/>
              </w:rPr>
              <w:t>每日计提的销售费=前一日理财产品资产净值×年化销售费率÷365</w:t>
            </w:r>
          </w:p>
          <w:p w14:paraId="54988A99">
            <w:pPr>
              <w:spacing w:line="240" w:lineRule="auto"/>
              <w:rPr>
                <w:sz w:val="28"/>
                <w:szCs w:val="28"/>
              </w:rPr>
            </w:pPr>
            <w:r>
              <w:rPr>
                <w:rFonts w:ascii="方正黑体_GBK" w:hAnsi="方正黑体_GBK" w:eastAsia="方正黑体_GBK" w:cs="宋体"/>
                <w:b/>
                <w:sz w:val="22"/>
                <w:szCs w:val="22"/>
              </w:rPr>
              <w:t>E份额：</w:t>
            </w:r>
          </w:p>
          <w:p w14:paraId="5DAC7178">
            <w:pPr>
              <w:spacing w:line="240" w:lineRule="auto"/>
              <w:rPr>
                <w:sz w:val="28"/>
                <w:szCs w:val="28"/>
              </w:rPr>
            </w:pPr>
            <w:r>
              <w:rPr>
                <w:rFonts w:ascii="方正黑体_GBK" w:hAnsi="方正黑体_GBK" w:eastAsia="方正黑体_GBK" w:cs="宋体"/>
                <w:b/>
                <w:sz w:val="22"/>
                <w:szCs w:val="22"/>
              </w:rPr>
              <w:t>本理财产品按前一日理财产品资产净值收取年化0.1%的销售费，按日计提。</w:t>
            </w:r>
          </w:p>
          <w:p w14:paraId="6872D462">
            <w:pPr>
              <w:spacing w:line="240" w:lineRule="auto"/>
              <w:rPr>
                <w:sz w:val="28"/>
                <w:szCs w:val="28"/>
              </w:rPr>
            </w:pPr>
            <w:r>
              <w:rPr>
                <w:rFonts w:ascii="方正黑体_GBK" w:hAnsi="方正黑体_GBK" w:eastAsia="方正黑体_GBK" w:cs="宋体"/>
                <w:b/>
                <w:sz w:val="22"/>
                <w:szCs w:val="22"/>
              </w:rPr>
              <w:t>每日计提的销售费=前一日理财产品资产净值×年化销售费率÷365</w:t>
            </w:r>
          </w:p>
          <w:p w14:paraId="53FDFA6F">
            <w:pPr>
              <w:spacing w:line="240" w:lineRule="auto"/>
              <w:rPr>
                <w:sz w:val="28"/>
                <w:szCs w:val="28"/>
              </w:rPr>
            </w:pPr>
            <w:r>
              <w:rPr>
                <w:rFonts w:ascii="方正黑体_GBK" w:hAnsi="方正黑体_GBK" w:eastAsia="方正黑体_GBK" w:cs="宋体"/>
                <w:b/>
                <w:sz w:val="22"/>
                <w:szCs w:val="22"/>
              </w:rPr>
              <w:t>N份额：</w:t>
            </w:r>
          </w:p>
          <w:p w14:paraId="777D9D88">
            <w:pPr>
              <w:spacing w:line="240" w:lineRule="auto"/>
              <w:rPr>
                <w:sz w:val="28"/>
                <w:szCs w:val="28"/>
              </w:rPr>
            </w:pPr>
            <w:r>
              <w:rPr>
                <w:rFonts w:ascii="方正黑体_GBK" w:hAnsi="方正黑体_GBK" w:eastAsia="方正黑体_GBK" w:cs="宋体"/>
                <w:b/>
                <w:sz w:val="22"/>
                <w:szCs w:val="22"/>
              </w:rPr>
              <w:t>本理财产品一次性收取年化0.3%的销售费，按日摊销。</w:t>
            </w:r>
          </w:p>
          <w:p w14:paraId="710A4512">
            <w:pPr>
              <w:spacing w:line="240" w:lineRule="auto"/>
              <w:rPr>
                <w:sz w:val="28"/>
                <w:szCs w:val="28"/>
              </w:rPr>
            </w:pPr>
            <w:r>
              <w:rPr>
                <w:rFonts w:ascii="方正黑体_GBK" w:hAnsi="方正黑体_GBK" w:eastAsia="方正黑体_GBK" w:cs="宋体"/>
                <w:b/>
                <w:sz w:val="22"/>
                <w:szCs w:val="22"/>
              </w:rPr>
              <w:t>产品成立日次日计提的销售费=产品成立日次日产品份额×年化销售费率÷365×（产品存续期限-1）。销售费于产品成立日次日一次性收取，产品成立日次日起每个自然日摊销。</w:t>
            </w:r>
          </w:p>
          <w:p w14:paraId="6FC14C40">
            <w:pPr>
              <w:spacing w:line="240" w:lineRule="auto"/>
              <w:rPr>
                <w:sz w:val="28"/>
                <w:szCs w:val="28"/>
              </w:rPr>
            </w:pPr>
            <w:r>
              <w:rPr>
                <w:rFonts w:ascii="方正黑体_GBK" w:hAnsi="方正黑体_GBK" w:eastAsia="方正黑体_GBK" w:cs="宋体"/>
                <w:b/>
                <w:sz w:val="22"/>
                <w:szCs w:val="22"/>
              </w:rPr>
              <w:t>O份额：</w:t>
            </w:r>
          </w:p>
          <w:p w14:paraId="7594A649">
            <w:pPr>
              <w:spacing w:line="240" w:lineRule="auto"/>
              <w:rPr>
                <w:sz w:val="28"/>
                <w:szCs w:val="28"/>
              </w:rPr>
            </w:pPr>
            <w:r>
              <w:rPr>
                <w:rFonts w:ascii="方正黑体_GBK" w:hAnsi="方正黑体_GBK" w:eastAsia="方正黑体_GBK" w:cs="宋体"/>
                <w:b/>
                <w:sz w:val="22"/>
                <w:szCs w:val="22"/>
              </w:rPr>
              <w:t>本理财产品一次性收取年化0.1%的销售费，按日摊销。</w:t>
            </w:r>
          </w:p>
          <w:p w14:paraId="64DD8DFB">
            <w:pPr>
              <w:spacing w:line="240" w:lineRule="auto"/>
              <w:rPr>
                <w:sz w:val="28"/>
                <w:szCs w:val="28"/>
              </w:rPr>
            </w:pPr>
            <w:r>
              <w:rPr>
                <w:rFonts w:ascii="方正黑体_GBK" w:hAnsi="方正黑体_GBK" w:eastAsia="方正黑体_GBK" w:cs="宋体"/>
                <w:b/>
                <w:sz w:val="22"/>
                <w:szCs w:val="22"/>
              </w:rPr>
              <w:t>产品成立日次日计提的销售费=产品成立日次日产品份额×年化销售费率÷365×（产品存续期限-1）。销售费于产品成立日次日一次性收取，产品成立日次日起每个自然日摊销。</w:t>
            </w:r>
          </w:p>
          <w:p w14:paraId="5FE496F0">
            <w:pPr>
              <w:spacing w:line="240" w:lineRule="auto"/>
              <w:rPr>
                <w:sz w:val="28"/>
                <w:szCs w:val="28"/>
              </w:rPr>
            </w:pPr>
            <w:r>
              <w:rPr>
                <w:rFonts w:ascii="方正黑体_GBK" w:hAnsi="方正黑体_GBK" w:eastAsia="方正黑体_GBK" w:cs="宋体"/>
                <w:b/>
                <w:sz w:val="22"/>
                <w:szCs w:val="22"/>
              </w:rPr>
              <w:t>A2份额：</w:t>
            </w:r>
          </w:p>
          <w:p w14:paraId="09173273">
            <w:pPr>
              <w:spacing w:line="240" w:lineRule="auto"/>
              <w:rPr>
                <w:sz w:val="28"/>
                <w:szCs w:val="28"/>
              </w:rPr>
            </w:pPr>
            <w:r>
              <w:rPr>
                <w:rFonts w:ascii="方正黑体_GBK" w:hAnsi="方正黑体_GBK" w:eastAsia="方正黑体_GBK" w:cs="宋体"/>
                <w:b/>
                <w:sz w:val="22"/>
                <w:szCs w:val="22"/>
              </w:rPr>
              <w:t>本理财产品按前一日理财产品资产净值收取年化0.3%的销售费，按日计提。</w:t>
            </w:r>
          </w:p>
          <w:p w14:paraId="6B4BF26E">
            <w:pPr>
              <w:spacing w:line="240" w:lineRule="auto"/>
              <w:rPr>
                <w:sz w:val="28"/>
                <w:szCs w:val="28"/>
              </w:rPr>
            </w:pPr>
            <w:r>
              <w:rPr>
                <w:rFonts w:ascii="方正黑体_GBK" w:hAnsi="方正黑体_GBK" w:eastAsia="方正黑体_GBK" w:cs="宋体"/>
                <w:b/>
                <w:sz w:val="22"/>
                <w:szCs w:val="22"/>
              </w:rPr>
              <w:t>每日计提的销售费=前一日理财产品资产净值×年化销售费率÷365</w:t>
            </w:r>
          </w:p>
          <w:p w14:paraId="26BF6203">
            <w:pPr>
              <w:spacing w:line="240" w:lineRule="auto"/>
              <w:rPr>
                <w:sz w:val="28"/>
                <w:szCs w:val="28"/>
              </w:rPr>
            </w:pPr>
            <w:r>
              <w:rPr>
                <w:rFonts w:ascii="方正黑体_GBK" w:hAnsi="方正黑体_GBK" w:eastAsia="方正黑体_GBK" w:cs="宋体"/>
                <w:b/>
                <w:sz w:val="22"/>
                <w:szCs w:val="22"/>
              </w:rPr>
              <w:t>固定管理费：本理财产品按前一日理财产品资产净值收取固定管理费，按日计提。</w:t>
            </w:r>
          </w:p>
          <w:p w14:paraId="466E4116">
            <w:pPr>
              <w:spacing w:line="240" w:lineRule="auto"/>
              <w:rPr>
                <w:sz w:val="28"/>
                <w:szCs w:val="28"/>
              </w:rPr>
            </w:pPr>
            <w:r>
              <w:rPr>
                <w:rFonts w:ascii="方正黑体_GBK" w:hAnsi="方正黑体_GBK" w:eastAsia="方正黑体_GBK" w:cs="宋体"/>
                <w:b/>
                <w:sz w:val="22"/>
                <w:szCs w:val="22"/>
              </w:rPr>
              <w:t>A份额：固定管理费年化0.15%</w:t>
            </w:r>
          </w:p>
          <w:p w14:paraId="4D2E36CC">
            <w:pPr>
              <w:spacing w:line="240" w:lineRule="auto"/>
              <w:rPr>
                <w:sz w:val="28"/>
                <w:szCs w:val="28"/>
              </w:rPr>
            </w:pPr>
            <w:r>
              <w:rPr>
                <w:rFonts w:ascii="方正黑体_GBK" w:hAnsi="方正黑体_GBK" w:eastAsia="方正黑体_GBK" w:cs="宋体"/>
                <w:b/>
                <w:sz w:val="22"/>
                <w:szCs w:val="22"/>
              </w:rPr>
              <w:t>B份额：固定管理费年化0.1%</w:t>
            </w:r>
          </w:p>
          <w:p w14:paraId="12F286C0">
            <w:pPr>
              <w:spacing w:line="240" w:lineRule="auto"/>
              <w:rPr>
                <w:sz w:val="28"/>
                <w:szCs w:val="28"/>
              </w:rPr>
            </w:pPr>
            <w:r>
              <w:rPr>
                <w:rFonts w:ascii="方正黑体_GBK" w:hAnsi="方正黑体_GBK" w:eastAsia="方正黑体_GBK" w:cs="宋体"/>
                <w:b/>
                <w:sz w:val="22"/>
                <w:szCs w:val="22"/>
              </w:rPr>
              <w:t>C份额：固定管理费年化0.1%</w:t>
            </w:r>
          </w:p>
          <w:p w14:paraId="75D22789">
            <w:pPr>
              <w:spacing w:line="240" w:lineRule="auto"/>
              <w:rPr>
                <w:sz w:val="28"/>
                <w:szCs w:val="28"/>
              </w:rPr>
            </w:pPr>
            <w:r>
              <w:rPr>
                <w:rFonts w:ascii="方正黑体_GBK" w:hAnsi="方正黑体_GBK" w:eastAsia="方正黑体_GBK" w:cs="宋体"/>
                <w:b/>
                <w:sz w:val="22"/>
                <w:szCs w:val="22"/>
              </w:rPr>
              <w:t>E份额：固定管理费年化0.1%</w:t>
            </w:r>
          </w:p>
          <w:p w14:paraId="29784F02">
            <w:pPr>
              <w:spacing w:line="240" w:lineRule="auto"/>
              <w:rPr>
                <w:sz w:val="28"/>
                <w:szCs w:val="28"/>
              </w:rPr>
            </w:pPr>
            <w:r>
              <w:rPr>
                <w:rFonts w:ascii="方正黑体_GBK" w:hAnsi="方正黑体_GBK" w:eastAsia="方正黑体_GBK" w:cs="宋体"/>
                <w:b/>
                <w:sz w:val="22"/>
                <w:szCs w:val="22"/>
              </w:rPr>
              <w:t>J份额：固定管理费年化0.15%</w:t>
            </w:r>
          </w:p>
          <w:p w14:paraId="1B9A2404">
            <w:pPr>
              <w:spacing w:line="240" w:lineRule="auto"/>
              <w:rPr>
                <w:sz w:val="28"/>
                <w:szCs w:val="28"/>
              </w:rPr>
            </w:pPr>
            <w:r>
              <w:rPr>
                <w:rFonts w:ascii="方正黑体_GBK" w:hAnsi="方正黑体_GBK" w:eastAsia="方正黑体_GBK" w:cs="宋体"/>
                <w:b/>
                <w:sz w:val="22"/>
                <w:szCs w:val="22"/>
              </w:rPr>
              <w:t>K份额：固定管理费年化0.05%</w:t>
            </w:r>
          </w:p>
          <w:p w14:paraId="5B12F6A3">
            <w:pPr>
              <w:spacing w:line="240" w:lineRule="auto"/>
              <w:rPr>
                <w:sz w:val="28"/>
                <w:szCs w:val="28"/>
              </w:rPr>
            </w:pPr>
            <w:r>
              <w:rPr>
                <w:rFonts w:ascii="方正黑体_GBK" w:hAnsi="方正黑体_GBK" w:eastAsia="方正黑体_GBK" w:cs="宋体"/>
                <w:b/>
                <w:sz w:val="22"/>
                <w:szCs w:val="22"/>
              </w:rPr>
              <w:t>L份额：固定管理费年化0.05%</w:t>
            </w:r>
          </w:p>
          <w:p w14:paraId="178EA84F">
            <w:pPr>
              <w:spacing w:line="240" w:lineRule="auto"/>
              <w:rPr>
                <w:sz w:val="28"/>
                <w:szCs w:val="28"/>
              </w:rPr>
            </w:pPr>
            <w:r>
              <w:rPr>
                <w:rFonts w:ascii="方正黑体_GBK" w:hAnsi="方正黑体_GBK" w:eastAsia="方正黑体_GBK" w:cs="宋体"/>
                <w:b/>
                <w:sz w:val="22"/>
                <w:szCs w:val="22"/>
              </w:rPr>
              <w:t>N份额：固定管理费年化0.05%</w:t>
            </w:r>
          </w:p>
          <w:p w14:paraId="64AB72C6">
            <w:pPr>
              <w:spacing w:line="240" w:lineRule="auto"/>
              <w:rPr>
                <w:sz w:val="28"/>
                <w:szCs w:val="28"/>
              </w:rPr>
            </w:pPr>
            <w:r>
              <w:rPr>
                <w:rFonts w:ascii="方正黑体_GBK" w:hAnsi="方正黑体_GBK" w:eastAsia="方正黑体_GBK" w:cs="宋体"/>
                <w:b/>
                <w:sz w:val="22"/>
                <w:szCs w:val="22"/>
              </w:rPr>
              <w:t>O份额：固定管理费年化0.05%</w:t>
            </w:r>
          </w:p>
          <w:p w14:paraId="11BFE674">
            <w:pPr>
              <w:spacing w:line="240" w:lineRule="auto"/>
              <w:rPr>
                <w:sz w:val="28"/>
                <w:szCs w:val="28"/>
              </w:rPr>
            </w:pPr>
            <w:r>
              <w:rPr>
                <w:rFonts w:ascii="方正黑体_GBK" w:hAnsi="方正黑体_GBK" w:eastAsia="方正黑体_GBK" w:cs="宋体"/>
                <w:b/>
                <w:sz w:val="22"/>
                <w:szCs w:val="22"/>
              </w:rPr>
              <w:t>A2份额：固定管理费年化0.05%</w:t>
            </w:r>
          </w:p>
          <w:p w14:paraId="76601DEE">
            <w:pPr>
              <w:spacing w:line="240" w:lineRule="auto"/>
              <w:rPr>
                <w:sz w:val="28"/>
                <w:szCs w:val="28"/>
              </w:rPr>
            </w:pPr>
            <w:r>
              <w:rPr>
                <w:rFonts w:ascii="方正黑体_GBK" w:hAnsi="方正黑体_GBK" w:eastAsia="方正黑体_GBK" w:cs="宋体"/>
                <w:b/>
                <w:sz w:val="22"/>
                <w:szCs w:val="22"/>
              </w:rPr>
              <w:t>每日计提的固定管理费=前一日理财产品资产净值×年化固定管理费率÷365</w:t>
            </w:r>
          </w:p>
          <w:p w14:paraId="02B2BCA3">
            <w:pPr>
              <w:spacing w:line="240" w:lineRule="auto"/>
              <w:rPr>
                <w:sz w:val="28"/>
                <w:szCs w:val="28"/>
              </w:rPr>
            </w:pPr>
            <w:r>
              <w:rPr>
                <w:rFonts w:ascii="方正黑体_GBK" w:hAnsi="方正黑体_GBK" w:eastAsia="方正黑体_GBK" w:cs="宋体"/>
                <w:b/>
                <w:sz w:val="22"/>
                <w:szCs w:val="22"/>
              </w:rPr>
              <w:t>托管费：</w:t>
            </w:r>
          </w:p>
          <w:p w14:paraId="38B6889D">
            <w:pPr>
              <w:spacing w:line="240" w:lineRule="auto"/>
              <w:rPr>
                <w:sz w:val="28"/>
                <w:szCs w:val="28"/>
              </w:rPr>
            </w:pPr>
            <w:r>
              <w:rPr>
                <w:rFonts w:ascii="方正黑体_GBK" w:hAnsi="方正黑体_GBK" w:eastAsia="方正黑体_GBK" w:cs="宋体"/>
                <w:b/>
                <w:sz w:val="22"/>
                <w:szCs w:val="22"/>
              </w:rPr>
              <w:t>本理财产品按前一日理财产品资产净值收取年化0.02%的托管费，按日计提。</w:t>
            </w:r>
          </w:p>
          <w:p w14:paraId="4D959BA6">
            <w:pPr>
              <w:spacing w:line="240" w:lineRule="auto"/>
              <w:rPr>
                <w:sz w:val="28"/>
                <w:szCs w:val="28"/>
              </w:rPr>
            </w:pPr>
            <w:r>
              <w:rPr>
                <w:rFonts w:ascii="方正黑体_GBK" w:hAnsi="方正黑体_GBK" w:eastAsia="方正黑体_GBK" w:cs="宋体"/>
                <w:b/>
                <w:sz w:val="22"/>
                <w:szCs w:val="22"/>
              </w:rPr>
              <w:t>每日计提的托管费=前一日理财产品资产净值×年化托管费率÷365</w:t>
            </w:r>
          </w:p>
          <w:p w14:paraId="7E15225B">
            <w:pPr>
              <w:spacing w:line="240" w:lineRule="auto"/>
              <w:rPr>
                <w:sz w:val="28"/>
                <w:szCs w:val="28"/>
              </w:rPr>
            </w:pPr>
            <w:r>
              <w:rPr>
                <w:rFonts w:ascii="方正黑体_GBK" w:hAnsi="方正黑体_GBK" w:eastAsia="方正黑体_GBK" w:cs="宋体"/>
                <w:b/>
                <w:sz w:val="22"/>
                <w:szCs w:val="22"/>
              </w:rPr>
              <w:t>业绩报酬：</w:t>
            </w:r>
          </w:p>
          <w:p w14:paraId="3A7F4E74">
            <w:pPr>
              <w:spacing w:line="240" w:lineRule="auto"/>
              <w:rPr>
                <w:sz w:val="28"/>
                <w:szCs w:val="28"/>
              </w:rPr>
            </w:pPr>
            <w:r>
              <w:rPr>
                <w:rFonts w:ascii="方正黑体_GBK" w:hAnsi="方正黑体_GBK" w:eastAsia="方正黑体_GBK" w:cs="宋体"/>
                <w:b/>
                <w:sz w:val="22"/>
                <w:szCs w:val="22"/>
              </w:rPr>
              <w:t>A份额：到期兑付时，当期产品投资的实际资产组合收益（扣除销售费、固定管理费、托管费等相关费用）超过1.73%（年化，即产品该份额对应的业绩报酬计提基准）时，超过部分管理人将按60%收取业绩报酬。</w:t>
            </w:r>
          </w:p>
          <w:p w14:paraId="1485CAB2">
            <w:pPr>
              <w:spacing w:line="240" w:lineRule="auto"/>
              <w:rPr>
                <w:sz w:val="28"/>
                <w:szCs w:val="28"/>
              </w:rPr>
            </w:pPr>
            <w:r>
              <w:rPr>
                <w:rFonts w:ascii="方正黑体_GBK" w:hAnsi="方正黑体_GBK" w:eastAsia="方正黑体_GBK" w:cs="宋体"/>
                <w:b/>
                <w:sz w:val="22"/>
                <w:szCs w:val="22"/>
              </w:rPr>
              <w:t>B份额：到期兑付时，当期产品投资的实际资产组合收益（扣除销售费、固定管理费、托管费等相关费用）超过1.83%（年化，即产品该份额对应的业绩报酬计提基准）时，超过部分管理人将按60%收取业绩报酬。</w:t>
            </w:r>
          </w:p>
          <w:p w14:paraId="1FB5A71C">
            <w:pPr>
              <w:spacing w:line="240" w:lineRule="auto"/>
              <w:rPr>
                <w:sz w:val="28"/>
                <w:szCs w:val="28"/>
              </w:rPr>
            </w:pPr>
            <w:r>
              <w:rPr>
                <w:rFonts w:ascii="方正黑体_GBK" w:hAnsi="方正黑体_GBK" w:eastAsia="方正黑体_GBK" w:cs="宋体"/>
                <w:b/>
                <w:sz w:val="22"/>
                <w:szCs w:val="22"/>
              </w:rPr>
              <w:t>C份额：到期兑付时，当期产品投资的实际资产组合收益（扣除销售费、固定管理费、托管费等相关费用）超过1.93%（年化，即产品该份额对应的业绩报酬计提基准）时，超过部分管理人将按60%收取业绩报酬。</w:t>
            </w:r>
          </w:p>
          <w:p w14:paraId="10F2D8F9">
            <w:pPr>
              <w:spacing w:line="240" w:lineRule="auto"/>
              <w:rPr>
                <w:sz w:val="28"/>
                <w:szCs w:val="28"/>
              </w:rPr>
            </w:pPr>
            <w:r>
              <w:rPr>
                <w:rFonts w:ascii="方正黑体_GBK" w:hAnsi="方正黑体_GBK" w:eastAsia="方正黑体_GBK" w:cs="宋体"/>
                <w:b/>
                <w:sz w:val="22"/>
                <w:szCs w:val="22"/>
              </w:rPr>
              <w:t>E份额：到期兑付时，当期产品投资的实际资产组合收益（扣除销售费、固定管理费、托管费等相关费用）超过1.88%（年化，即产品该份额对应的业绩报酬计提基准）时，超过部分管理人将按60%收取业绩报酬。</w:t>
            </w:r>
          </w:p>
          <w:p w14:paraId="1FD81D0E">
            <w:pPr>
              <w:spacing w:line="240" w:lineRule="auto"/>
              <w:rPr>
                <w:sz w:val="28"/>
                <w:szCs w:val="28"/>
              </w:rPr>
            </w:pPr>
            <w:r>
              <w:rPr>
                <w:rFonts w:ascii="方正黑体_GBK" w:hAnsi="方正黑体_GBK" w:eastAsia="方正黑体_GBK" w:cs="宋体"/>
                <w:b/>
                <w:sz w:val="22"/>
                <w:szCs w:val="22"/>
              </w:rPr>
              <w:t>J份额：到期兑付时，当期产品投资的实际资产组合收益（扣除销售费、固定管理费、托管费等相关费用）超过1.73%（年化，即产品该份额对应的业绩报酬计提基准）时，超过部分管理人将按60%收取业绩报酬。</w:t>
            </w:r>
          </w:p>
          <w:p w14:paraId="52D586A0">
            <w:pPr>
              <w:spacing w:line="240" w:lineRule="auto"/>
              <w:rPr>
                <w:sz w:val="28"/>
                <w:szCs w:val="28"/>
              </w:rPr>
            </w:pPr>
            <w:r>
              <w:rPr>
                <w:rFonts w:ascii="方正黑体_GBK" w:hAnsi="方正黑体_GBK" w:eastAsia="方正黑体_GBK" w:cs="宋体"/>
                <w:b/>
                <w:sz w:val="22"/>
                <w:szCs w:val="22"/>
              </w:rPr>
              <w:t>K份额：到期兑付时，当期产品投资的实际资产组合收益（扣除销售费、固定管理费、托管费等相关费用）超过1.98%（年化，即产品该份额对应的业绩报酬计提基准）时，超过部分管理人将按60%收取业绩报酬。</w:t>
            </w:r>
          </w:p>
          <w:p w14:paraId="6D611E14">
            <w:pPr>
              <w:spacing w:line="240" w:lineRule="auto"/>
              <w:rPr>
                <w:sz w:val="28"/>
                <w:szCs w:val="28"/>
              </w:rPr>
            </w:pPr>
            <w:r>
              <w:rPr>
                <w:rFonts w:ascii="方正黑体_GBK" w:hAnsi="方正黑体_GBK" w:eastAsia="方正黑体_GBK" w:cs="宋体"/>
                <w:b/>
                <w:sz w:val="22"/>
                <w:szCs w:val="22"/>
              </w:rPr>
              <w:t>L份额：到期兑付时，当期产品投资的实际资产组合收益（扣除销售费、固定管理费、托管费等相关费用）超过1.98%（年化，即产品该份额对应的业绩报酬计提基准）时，超过部分管理人将按60%收取业绩报酬。</w:t>
            </w:r>
          </w:p>
          <w:p w14:paraId="77E6D82C">
            <w:pPr>
              <w:spacing w:line="240" w:lineRule="auto"/>
              <w:rPr>
                <w:sz w:val="28"/>
                <w:szCs w:val="28"/>
              </w:rPr>
            </w:pPr>
            <w:r>
              <w:rPr>
                <w:rFonts w:ascii="方正黑体_GBK" w:hAnsi="方正黑体_GBK" w:eastAsia="方正黑体_GBK" w:cs="宋体"/>
                <w:b/>
                <w:sz w:val="22"/>
                <w:szCs w:val="22"/>
              </w:rPr>
              <w:t>N份额：到期兑付时，当期产品投资的实际资产组合收益（扣除销售费、固定管理费、托管费等相关费用）超过1.73%（年化，即产品该份额对应的业绩报酬计提基准）时，超过部分管理人将按60%收取业绩报酬。</w:t>
            </w:r>
          </w:p>
          <w:p w14:paraId="00925E2D">
            <w:pPr>
              <w:spacing w:line="240" w:lineRule="auto"/>
              <w:rPr>
                <w:sz w:val="28"/>
                <w:szCs w:val="28"/>
              </w:rPr>
            </w:pPr>
            <w:r>
              <w:rPr>
                <w:rFonts w:ascii="方正黑体_GBK" w:hAnsi="方正黑体_GBK" w:eastAsia="方正黑体_GBK" w:cs="宋体"/>
                <w:b/>
                <w:sz w:val="22"/>
                <w:szCs w:val="22"/>
              </w:rPr>
              <w:t>O份额：到期兑付时，当期产品投资的实际资产组合收益（扣除销售费、固定管理费、托管费等相关费用）超过1.93%（年化，即产品该份额对应的业绩报酬计提基准）时，超过部分管理人将按60%收取业绩报酬。</w:t>
            </w:r>
          </w:p>
          <w:p w14:paraId="032FF092">
            <w:pPr>
              <w:spacing w:line="240" w:lineRule="auto"/>
              <w:rPr>
                <w:sz w:val="28"/>
                <w:szCs w:val="28"/>
              </w:rPr>
            </w:pPr>
            <w:r>
              <w:rPr>
                <w:rFonts w:ascii="方正黑体_GBK" w:hAnsi="方正黑体_GBK" w:eastAsia="方正黑体_GBK" w:cs="宋体"/>
                <w:b/>
                <w:sz w:val="22"/>
                <w:szCs w:val="22"/>
              </w:rPr>
              <w:t>A2份额：到期兑付时，当期产品投资的实际资产组合收益（扣除销售费、固定管理费、托管费等相关费用）超过1.73%（年化，即产品该份额对应的业绩报酬计提基准）时，超过部分管理人将按60%收取业绩报酬。</w:t>
            </w:r>
          </w:p>
          <w:p w14:paraId="7BED215C">
            <w:pPr>
              <w:spacing w:line="240" w:lineRule="auto"/>
              <w:rPr>
                <w:sz w:val="28"/>
                <w:szCs w:val="28"/>
              </w:rPr>
            </w:pPr>
            <w:r>
              <w:rPr>
                <w:rFonts w:ascii="方正黑体_GBK" w:hAnsi="方正黑体_GBK" w:eastAsia="方正黑体_GBK" w:cs="宋体"/>
                <w:b/>
                <w:sz w:val="22"/>
                <w:szCs w:val="22"/>
              </w:rPr>
              <w:t>产品存续期内理财产品每个估值日将暂估业绩报酬，暂估的业绩报酬仅用于理财产品会计核算，管理人将扣除暂估业绩报酬后的净值按照说明书约定向投资者进行披露。理财产品实际的业绩报酬以产品赎回确认或产品实际到期时计提核算的数值为准。暂估业绩报酬不影响产品的实际收益。</w:t>
            </w:r>
          </w:p>
          <w:p w14:paraId="0E07C4FA">
            <w:pPr>
              <w:spacing w:line="240" w:lineRule="auto"/>
              <w:rPr>
                <w:sz w:val="28"/>
                <w:szCs w:val="28"/>
              </w:rPr>
            </w:pPr>
            <w:r>
              <w:rPr>
                <w:rFonts w:ascii="方正黑体_GBK" w:hAnsi="方正黑体_GBK" w:eastAsia="方正黑体_GBK" w:cs="宋体"/>
                <w:b/>
                <w:sz w:val="22"/>
                <w:szCs w:val="22"/>
              </w:rPr>
              <w:t>其他费用：产品运作和清算中产生的其他资金汇划费、结算费、交易手续费、注册登记费、信息披露费、账户服务费、审计费、律师费、投后管理费、项目推荐费、财务顾问费和本理财产品说明书约定的其他应由理财产品承担的费用等，按照实际发生时从理财产品中列支。如发生以上费用，将通过本理财产品的定期报告等进行信息披露。本理财产品终止日起，清算过程中各项利息及费用与实际结算金额的尾差（如有）由管理人承担。</w:t>
            </w:r>
          </w:p>
          <w:p w14:paraId="21606B49">
            <w:pPr>
              <w:spacing w:line="240" w:lineRule="auto"/>
              <w:rPr>
                <w:sz w:val="28"/>
                <w:szCs w:val="28"/>
              </w:rPr>
            </w:pPr>
            <w:r>
              <w:rPr>
                <w:rFonts w:ascii="方正黑体_GBK" w:hAnsi="方正黑体_GBK" w:eastAsia="方正黑体_GBK" w:cs="宋体"/>
                <w:b/>
                <w:sz w:val="22"/>
                <w:szCs w:val="22"/>
              </w:rPr>
              <w:t>注：1.根据财政部《资产管理产品相关会计处理规定》（财会〔2022〕14号）“将当期发生的管理人报酬计入当期损益”的相关规定，本理财产品将每日计提暂估的业绩报酬（如有）。</w:t>
            </w:r>
          </w:p>
          <w:p w14:paraId="46CE7475">
            <w:pPr>
              <w:spacing w:line="240" w:lineRule="auto"/>
              <w:rPr>
                <w:sz w:val="28"/>
                <w:szCs w:val="28"/>
              </w:rPr>
            </w:pPr>
            <w:r>
              <w:rPr>
                <w:rFonts w:ascii="方正黑体_GBK" w:hAnsi="方正黑体_GBK" w:eastAsia="方正黑体_GBK" w:cs="宋体"/>
                <w:b/>
                <w:sz w:val="22"/>
                <w:szCs w:val="22"/>
              </w:rPr>
              <w:t>2.产品存续期的每个估值日，如果产品各份额当期起始日至估值日（即本区间）的年化收益率大于当期业绩报酬计提基准，则相应计提暂估业绩报酬，披露的各份额的单位净值为扣除暂估业绩报酬（如有）之后的水平。</w:t>
            </w:r>
          </w:p>
          <w:p w14:paraId="4B8A1D24">
            <w:pPr>
              <w:spacing w:line="240" w:lineRule="auto"/>
              <w:rPr>
                <w:sz w:val="28"/>
                <w:szCs w:val="28"/>
              </w:rPr>
            </w:pPr>
            <w:r>
              <w:rPr>
                <w:rFonts w:ascii="方正黑体_GBK" w:hAnsi="方正黑体_GBK" w:eastAsia="方正黑体_GBK" w:cs="宋体"/>
                <w:b/>
                <w:sz w:val="22"/>
                <w:szCs w:val="22"/>
              </w:rPr>
              <w:t>计算本区间业绩报酬的公式如下：</w:t>
            </w:r>
          </w:p>
          <w:p w14:paraId="627A6277">
            <w:pPr>
              <w:spacing w:line="240" w:lineRule="auto"/>
              <w:rPr>
                <w:sz w:val="28"/>
                <w:szCs w:val="28"/>
              </w:rPr>
            </w:pPr>
            <w:r>
              <w:rPr>
                <w:rFonts w:ascii="方正黑体_GBK" w:hAnsi="方正黑体_GBK" w:eastAsia="方正黑体_GBK" w:cs="宋体"/>
                <w:b/>
                <w:sz w:val="22"/>
                <w:szCs w:val="22"/>
              </w:rPr>
              <w:t>A={B-C*D*(1+E*F/365)}*G。</w:t>
            </w:r>
          </w:p>
          <w:p w14:paraId="5B23F67D">
            <w:pPr>
              <w:spacing w:line="240" w:lineRule="auto"/>
              <w:rPr>
                <w:sz w:val="28"/>
                <w:szCs w:val="28"/>
              </w:rPr>
            </w:pPr>
            <w:r>
              <w:rPr>
                <w:rFonts w:ascii="方正黑体_GBK" w:hAnsi="方正黑体_GBK" w:eastAsia="方正黑体_GBK" w:cs="宋体"/>
                <w:b/>
                <w:sz w:val="22"/>
                <w:szCs w:val="22"/>
              </w:rPr>
              <w:t>其中：A是产品该份额从当期起始日到估值日应计提的业绩报酬金额，B是产品该份额估值日当日未扣除业绩报酬前的资产净值，C是产品该份额当期起始日的产品份额，D是产品该份额当期起始日前一自然日的单位净值，E是产品该份额当期的业绩报酬计提基准，F是产品该份额当期起始日（含）到估值日（含）的天数，G是产品该份额当期的业绩报酬计提比例。若本区间内产品该份额存在分红，则应当将分红金额考虑在内；若业绩报酬分段计提，则将分段计提暂估的业绩报酬，因此计提业绩报酬公式根据产品实际情况可能有微调。</w:t>
            </w:r>
          </w:p>
        </w:tc>
      </w:tr>
      <w:tr w14:paraId="7C74782F">
        <w:trPr>
          <w:trHeight w:val="404"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1BEFE8D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风险事件说明</w:t>
            </w:r>
          </w:p>
        </w:tc>
        <w:tc>
          <w:tcPr>
            <w:tcW w:w="5543" w:type="dxa"/>
            <w:tcBorders>
              <w:top w:val="single" w:color="auto" w:sz="4" w:space="0"/>
              <w:left w:val="nil"/>
              <w:bottom w:val="single" w:color="auto" w:sz="4" w:space="0"/>
              <w:right w:val="single" w:color="auto" w:sz="4" w:space="0"/>
              <w:tl2br w:val="nil"/>
              <w:tr2bl w:val="nil"/>
            </w:tcBorders>
            <w:vAlign w:val="center"/>
          </w:tcPr>
          <w:p w14:paraId="15CC28FA">
            <w:pPr>
              <w:spacing w:line="240" w:lineRule="auto"/>
              <w:rPr>
                <w:sz w:val="28"/>
                <w:szCs w:val="28"/>
              </w:rPr>
            </w:pPr>
            <w:r>
              <w:rPr>
                <w:rFonts w:ascii="方正黑体_GBK" w:hAnsi="方正黑体_GBK" w:eastAsia="方正黑体_GBK" w:cs="宋体"/>
                <w:sz w:val="22"/>
                <w:szCs w:val="22"/>
              </w:rPr>
              <w:t>具体详见本理财产品风险揭示书。</w:t>
            </w:r>
          </w:p>
        </w:tc>
      </w:tr>
      <w:tr w14:paraId="58718928">
        <w:trPr>
          <w:trHeight w:val="614"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1EFC2A3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s="Times New Roman"/>
                <w:caps w:val="0"/>
                <w:smallCaps w:val="0"/>
                <w:snapToGrid/>
                <w:vanish w:val="0"/>
                <w:color w:val="auto"/>
                <w:kern w:val="0"/>
                <w:sz w:val="22"/>
                <w:szCs w:val="22"/>
                <w:vertAlign w:val="baseline"/>
              </w:rPr>
              <w:t>理财产品管理人及管理人职责</w:t>
            </w:r>
          </w:p>
        </w:tc>
        <w:tc>
          <w:tcPr>
            <w:tcW w:w="5543" w:type="dxa"/>
            <w:tcBorders>
              <w:top w:val="single" w:color="auto" w:sz="4" w:space="0"/>
              <w:left w:val="nil"/>
              <w:bottom w:val="single" w:color="auto" w:sz="4" w:space="0"/>
              <w:right w:val="single" w:color="auto" w:sz="4" w:space="0"/>
              <w:tl2br w:val="nil"/>
              <w:tr2bl w:val="nil"/>
            </w:tcBorders>
            <w:vAlign w:val="center"/>
          </w:tcPr>
          <w:p w14:paraId="2F4E7BB4">
            <w:pPr>
              <w:spacing w:line="240" w:lineRule="auto"/>
              <w:jc w:val="left"/>
              <w:rPr>
                <w:sz w:val="28"/>
                <w:szCs w:val="28"/>
              </w:rPr>
            </w:pPr>
            <w:r>
              <w:rPr>
                <w:rFonts w:ascii="方正黑体_GBK" w:hAnsi="方正黑体_GBK" w:eastAsia="方正黑体_GBK" w:cs="宋体"/>
                <w:color w:val="000000"/>
                <w:sz w:val="22"/>
                <w:szCs w:val="22"/>
              </w:rPr>
              <w:t>本理财产品管理人为南银理财有限责任公司，南银理财系南京银行股份有限公司全资控股的银行理财子公司。南银理财成立于2020年8月，专业从事理财产品发行、投资管理、理财顾问和咨询服务等业务，注册资本金20 亿元人民币。住所：江苏省南京市建邺区庐山路242号2号楼14-16层，联系方式：025-83642111。</w:t>
            </w:r>
          </w:p>
          <w:p w14:paraId="0AD2596C">
            <w:pPr>
              <w:spacing w:line="240" w:lineRule="auto"/>
              <w:jc w:val="left"/>
              <w:rPr>
                <w:sz w:val="28"/>
                <w:szCs w:val="28"/>
              </w:rPr>
            </w:pPr>
            <w:r>
              <w:rPr>
                <w:rFonts w:ascii="方正黑体_GBK" w:hAnsi="方正黑体_GBK" w:eastAsia="方正黑体_GBK" w:cs="宋体"/>
                <w:sz w:val="22"/>
                <w:szCs w:val="22"/>
              </w:rPr>
              <w:t>管理人主要职责如下：</w:t>
            </w:r>
          </w:p>
          <w:p w14:paraId="1F61E653">
            <w:pPr>
              <w:spacing w:line="240" w:lineRule="auto"/>
              <w:jc w:val="left"/>
              <w:rPr>
                <w:sz w:val="28"/>
                <w:szCs w:val="28"/>
              </w:rPr>
            </w:pPr>
            <w:r>
              <w:rPr>
                <w:rFonts w:ascii="方正黑体_GBK" w:hAnsi="方正黑体_GBK" w:eastAsia="方正黑体_GBK" w:cs="宋体"/>
                <w:color w:val="000000"/>
                <w:sz w:val="22"/>
                <w:szCs w:val="22"/>
              </w:rPr>
              <w:t>1.按照法律法规、监管规定及理财产品销售文件的约定，发行并管理理财产品；</w:t>
            </w:r>
          </w:p>
          <w:p w14:paraId="31E958B0">
            <w:pPr>
              <w:spacing w:line="240" w:lineRule="auto"/>
              <w:jc w:val="left"/>
              <w:rPr>
                <w:sz w:val="28"/>
                <w:szCs w:val="28"/>
              </w:rPr>
            </w:pPr>
            <w:r>
              <w:rPr>
                <w:rFonts w:ascii="方正黑体_GBK" w:hAnsi="方正黑体_GBK" w:eastAsia="方正黑体_GBK" w:cs="宋体"/>
                <w:color w:val="000000"/>
                <w:sz w:val="22"/>
                <w:szCs w:val="22"/>
              </w:rPr>
              <w:t>2.根据理财产品的投资组合、同类产品过往业绩和风险状况等因素，对理财产品进行评级；</w:t>
            </w:r>
          </w:p>
          <w:p w14:paraId="213693EB">
            <w:pPr>
              <w:spacing w:line="240" w:lineRule="auto"/>
              <w:jc w:val="left"/>
              <w:rPr>
                <w:sz w:val="28"/>
                <w:szCs w:val="28"/>
              </w:rPr>
            </w:pPr>
            <w:r>
              <w:rPr>
                <w:rFonts w:ascii="方正黑体_GBK" w:hAnsi="方正黑体_GBK" w:eastAsia="方正黑体_GBK" w:cs="宋体"/>
                <w:color w:val="000000"/>
                <w:sz w:val="22"/>
                <w:szCs w:val="22"/>
              </w:rPr>
              <w:t>3.按照法律法规、监管规定及与投资者约定的信息披露渠道及时披露理财产品相关信息；</w:t>
            </w:r>
          </w:p>
          <w:p w14:paraId="1550715F">
            <w:pPr>
              <w:spacing w:line="240" w:lineRule="auto"/>
              <w:jc w:val="left"/>
              <w:rPr>
                <w:sz w:val="28"/>
                <w:szCs w:val="28"/>
              </w:rPr>
            </w:pPr>
            <w:r>
              <w:rPr>
                <w:rFonts w:ascii="方正黑体_GBK" w:hAnsi="方正黑体_GBK" w:eastAsia="方正黑体_GBK" w:cs="宋体"/>
                <w:color w:val="000000"/>
                <w:sz w:val="22"/>
                <w:szCs w:val="22"/>
              </w:rPr>
              <w:t>4.按照理财产品销售文件约定的投资范围和权限，负责理财产品资金的运用和管理，向投资者进行收益分配；</w:t>
            </w:r>
          </w:p>
          <w:p w14:paraId="52EBB6DD">
            <w:pPr>
              <w:spacing w:line="240" w:lineRule="auto"/>
              <w:jc w:val="left"/>
              <w:rPr>
                <w:sz w:val="28"/>
                <w:szCs w:val="28"/>
              </w:rPr>
            </w:pPr>
            <w:r>
              <w:rPr>
                <w:rFonts w:ascii="方正黑体_GBK" w:hAnsi="方正黑体_GBK" w:eastAsia="方正黑体_GBK" w:cs="宋体"/>
                <w:color w:val="000000"/>
                <w:sz w:val="22"/>
                <w:szCs w:val="22"/>
              </w:rPr>
              <w:t>5.审慎选择理财产品销售机构，切实履行对销售机构的管理责任；</w:t>
            </w:r>
          </w:p>
          <w:p w14:paraId="3C731206">
            <w:pPr>
              <w:spacing w:line="240" w:lineRule="auto"/>
              <w:jc w:val="left"/>
              <w:rPr>
                <w:sz w:val="28"/>
                <w:szCs w:val="28"/>
              </w:rPr>
            </w:pPr>
            <w:r>
              <w:rPr>
                <w:rFonts w:ascii="方正黑体_GBK" w:hAnsi="方正黑体_GBK" w:eastAsia="方正黑体_GBK" w:cs="宋体"/>
                <w:color w:val="000000"/>
                <w:sz w:val="22"/>
                <w:szCs w:val="22"/>
              </w:rPr>
              <w:t>6.根据法律法规、监管规定建立健全投资者权益保护管理体系；</w:t>
            </w:r>
          </w:p>
          <w:p w14:paraId="6CEBC2F4">
            <w:pPr>
              <w:spacing w:line="240" w:lineRule="auto"/>
              <w:jc w:val="left"/>
              <w:rPr>
                <w:sz w:val="28"/>
                <w:szCs w:val="28"/>
              </w:rPr>
            </w:pPr>
            <w:r>
              <w:rPr>
                <w:rFonts w:ascii="方正黑体_GBK" w:hAnsi="方正黑体_GBK" w:eastAsia="方正黑体_GBK" w:cs="宋体"/>
                <w:color w:val="000000"/>
                <w:sz w:val="22"/>
                <w:szCs w:val="22"/>
              </w:rPr>
              <w:t>7.国务院银行业监督管理机构规定及本理财产品销售文件中约定的其他职责。</w:t>
            </w:r>
          </w:p>
        </w:tc>
      </w:tr>
      <w:tr w14:paraId="0476211B">
        <w:trPr>
          <w:trHeight w:val="35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4C9AA9B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s="Times New Roman"/>
                <w:caps w:val="0"/>
                <w:smallCaps w:val="0"/>
                <w:snapToGrid/>
                <w:vanish w:val="0"/>
                <w:color w:val="auto"/>
                <w:kern w:val="0"/>
                <w:sz w:val="22"/>
                <w:szCs w:val="22"/>
                <w:vertAlign w:val="baseline"/>
              </w:rPr>
              <w:t>销售机构及销售机构职责</w:t>
            </w:r>
          </w:p>
        </w:tc>
        <w:tc>
          <w:tcPr>
            <w:tcW w:w="5543" w:type="dxa"/>
            <w:tcBorders>
              <w:top w:val="single" w:color="auto" w:sz="4" w:space="0"/>
              <w:left w:val="nil"/>
              <w:bottom w:val="single" w:color="auto" w:sz="4" w:space="0"/>
              <w:right w:val="single" w:color="auto" w:sz="4" w:space="0"/>
              <w:tl2br w:val="nil"/>
              <w:tr2bl w:val="nil"/>
            </w:tcBorders>
            <w:vAlign w:val="center"/>
          </w:tcPr>
          <w:p w14:paraId="413BD803">
            <w:pPr>
              <w:spacing w:line="240" w:lineRule="auto"/>
              <w:jc w:val="left"/>
              <w:rPr>
                <w:sz w:val="28"/>
                <w:szCs w:val="28"/>
              </w:rPr>
            </w:pPr>
            <w:r>
              <w:rPr>
                <w:rFonts w:ascii="方正黑体_GBK" w:hAnsi="方正黑体_GBK" w:eastAsia="方正黑体_GBK" w:cs="宋体"/>
                <w:sz w:val="22"/>
                <w:szCs w:val="22"/>
              </w:rPr>
              <w:t>本理财产品销售机构为南银理财有限责任公司、南京银行股份有限公司、江苏太仓农村商业银行股份有限公司、青岛银行股份有限公司、江苏苏州农村商业银行股份有限公司、福建海峡银行股份有限公司、秦皇岛银行股份有限公司、泰安银行股份有限公司、宁波东海银行股份有限公司、齐鲁银行股份有限公司、贵阳银行股份有限公司、云南红塔银行股份有限公司、天津农村商业银行股份有限公司、江苏紫金农村商业银行股份有限公司、温州银行股份有限公司、江苏滨海农村商业银行股份有限公司、江苏金湖农村商业银行股份有限公司、苏州银行股份有限公司、蒙商银行股份有限公司、江苏江南农村商业银行股份有限公司、桂林银行股份有限公司、富邦华一银行有限公司、广州银行股份有限公司、无锡农村商业银行股份有限公司、石嘴山银行股份有限公司、无锡锡商银行股份有限公司、江苏丹阳农村商业银行股份有限公司、江苏宜兴农村商业银行股份有限公司、江苏高淳农村商业银行股份有限公司、江苏泰兴农村商业银行股份有限公司、江苏响水农村商业银行股份有限公司、江苏靖江农村商业银行股份有限公司、江苏新沂农村商业银行股份有限公司、江苏邳州农村商业银行股份有限公司、江苏民丰农村商业银行股份有限公司、江苏建湖农村商业银行股份有限公司、江苏东台农村商业银行股份有限公司、江苏溧水农村商业银行股份有限公司、江苏南通农村商业银行股份有限公司、江苏扬州农村商业银行股份有限公司、江苏江都农村商业银行股份有限公司、江苏淮安农村商业银行股份有限公司、江苏大丰农村商业银行股份有限公司、江苏涟水农村商业银行股份有限公司、江苏兴化农村商业银行股份有限公司、江苏镇江农村商业银行股份有限公司、江苏如皋农村商业银行股份有限公司、江苏宝应农村商业银行股份有限公司、徐州农村商业银行股份有限公司、广东顺德农村商业银行股份有限公司、海南银行股份有限公司、江苏丰县农村商业银行股份有限公司、江苏射阳农村商业银行股份有限公司、江苏句容农村商业银行股份有限公司、江苏泗洪农村商业银行股份有限公司、江苏泗阳农村商业银行股份有限公司、江苏张家港农村商业银行股份有限公司、江苏江阴农村商业银行股份有限公司、江苏东海农村商业银行股份有限公司、江苏高邮农村商业银行股份有限公司、乌鲁木齐银行股份有限公司、河北银行股份有限公司、郑州银行股份有限公司、江苏姜堰农村商业银行股份有限公司、山西银行股份有限公司、江苏如东农村商业银行股份有限公司、北京银行股份有限公司、哈密市商业银行股份有限公司、江苏赣榆农村商业银行股份有限公司、江苏盱眙农村商业银行股份有限公司、兰州银行股份有限公司、东营银行股份有限公司、江苏沛县农村商业银行股份有限公司、甘肃银行股份有限公司、江苏仪征农村商业银行股份有限公司、金华银行股份有限公司、昆山鹿城村镇银行股份有限公司、吉林银行股份有限公司、连云港东方农村商业银行股份有限公司、德州银行股份有限公司、北京农村商业银行股份有限公司、上海农村商业银行股份有限公司、长安银行股份有限公司、江苏沭阳农村商业银行股份有限公司、湖州银行股份有限公司、江苏灌云农村商业银行股份有限公司、江苏海安农村商业银行股份有限公司、江苏昆山农村商业银行股份有限公司、广州农村商业银行股份有限公司、江苏泰州农村商业银行股份有限公司、朝阳银行股份有限公司。销售机构基本信息详见第五条。</w:t>
            </w:r>
          </w:p>
          <w:p w14:paraId="03858CD6">
            <w:pPr>
              <w:spacing w:line="240" w:lineRule="auto"/>
              <w:jc w:val="left"/>
              <w:rPr>
                <w:sz w:val="28"/>
                <w:szCs w:val="28"/>
              </w:rPr>
            </w:pPr>
            <w:r>
              <w:rPr>
                <w:rFonts w:ascii="方正黑体_GBK" w:hAnsi="方正黑体_GBK" w:eastAsia="方正黑体_GBK" w:cs="宋体"/>
                <w:sz w:val="22"/>
                <w:szCs w:val="22"/>
              </w:rPr>
              <w:t>销售机构主要职责如下：</w:t>
            </w:r>
          </w:p>
          <w:p w14:paraId="3F829ED8">
            <w:pPr>
              <w:spacing w:line="240" w:lineRule="auto"/>
              <w:jc w:val="left"/>
              <w:rPr>
                <w:sz w:val="28"/>
                <w:szCs w:val="28"/>
              </w:rPr>
            </w:pPr>
            <w:r>
              <w:rPr>
                <w:rFonts w:ascii="方正黑体_GBK" w:hAnsi="方正黑体_GBK" w:eastAsia="方正黑体_GBK" w:cs="宋体"/>
                <w:sz w:val="22"/>
                <w:szCs w:val="22"/>
              </w:rPr>
              <w:t>1.按照法律法规、监管规定及理财产品销售文件的约定，开展理财产品销售活动，向投资者充分披露信息和揭示风险；</w:t>
            </w:r>
          </w:p>
          <w:p w14:paraId="7C28867F">
            <w:pPr>
              <w:spacing w:line="240" w:lineRule="auto"/>
              <w:jc w:val="left"/>
              <w:rPr>
                <w:sz w:val="28"/>
                <w:szCs w:val="28"/>
              </w:rPr>
            </w:pPr>
            <w:r>
              <w:rPr>
                <w:rFonts w:ascii="方正黑体_GBK" w:hAnsi="方正黑体_GBK" w:eastAsia="方正黑体_GBK" w:cs="宋体"/>
                <w:sz w:val="22"/>
                <w:szCs w:val="22"/>
              </w:rPr>
              <w:t>2.对非机构投资者的风险承受能力进行评估，确保投资者风险承受能力评估的客观性、及时性和有效性；</w:t>
            </w:r>
          </w:p>
          <w:p w14:paraId="4BF53BBA">
            <w:pPr>
              <w:spacing w:line="240" w:lineRule="auto"/>
              <w:jc w:val="left"/>
              <w:rPr>
                <w:sz w:val="28"/>
                <w:szCs w:val="28"/>
              </w:rPr>
            </w:pPr>
            <w:r>
              <w:rPr>
                <w:rFonts w:ascii="方正黑体_GBK" w:hAnsi="方正黑体_GBK" w:eastAsia="方正黑体_GBK" w:cs="宋体"/>
                <w:sz w:val="22"/>
                <w:szCs w:val="22"/>
              </w:rPr>
              <w:t>3.妥善保管投资者理财产品销售相关资料，保管年限不低于20年；</w:t>
            </w:r>
          </w:p>
          <w:p w14:paraId="65F755A7">
            <w:pPr>
              <w:spacing w:line="240" w:lineRule="auto"/>
              <w:jc w:val="left"/>
              <w:rPr>
                <w:sz w:val="28"/>
                <w:szCs w:val="28"/>
              </w:rPr>
            </w:pPr>
            <w:r>
              <w:rPr>
                <w:rFonts w:ascii="方正黑体_GBK" w:hAnsi="方正黑体_GBK" w:eastAsia="方正黑体_GBK" w:cs="宋体"/>
                <w:sz w:val="22"/>
                <w:szCs w:val="22"/>
              </w:rPr>
              <w:t>4.根据反洗钱、反恐怖融资及非居民金融账户涉税信息尽职调查等相关法律法规要求识别客户身份；</w:t>
            </w:r>
          </w:p>
          <w:p w14:paraId="56778F59">
            <w:pPr>
              <w:spacing w:line="240" w:lineRule="auto"/>
              <w:jc w:val="left"/>
              <w:rPr>
                <w:sz w:val="28"/>
                <w:szCs w:val="28"/>
              </w:rPr>
            </w:pPr>
            <w:r>
              <w:rPr>
                <w:rFonts w:ascii="方正黑体_GBK" w:hAnsi="方正黑体_GBK" w:eastAsia="方正黑体_GBK" w:cs="宋体"/>
                <w:sz w:val="22"/>
                <w:szCs w:val="22"/>
              </w:rPr>
              <w:t>5.建立健全投资者权益保护管理体系，加强投资者适当性管理；</w:t>
            </w:r>
          </w:p>
          <w:p w14:paraId="1DB616F1">
            <w:pPr>
              <w:spacing w:line="240" w:lineRule="auto"/>
              <w:rPr>
                <w:sz w:val="28"/>
                <w:szCs w:val="28"/>
              </w:rPr>
            </w:pPr>
            <w:r>
              <w:rPr>
                <w:rFonts w:ascii="方正黑体_GBK" w:hAnsi="方正黑体_GBK" w:eastAsia="方正黑体_GBK" w:cs="宋体"/>
                <w:sz w:val="22"/>
                <w:szCs w:val="22"/>
              </w:rPr>
              <w:t>6.国务院银行业监督管理机构规定及本理财产品管理人与销售机构约定的其他职责。</w:t>
            </w:r>
          </w:p>
        </w:tc>
      </w:tr>
      <w:tr w14:paraId="02B94A9B">
        <w:trPr>
          <w:trHeight w:val="344"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0967B2F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托管人及托管人职责</w:t>
            </w:r>
          </w:p>
        </w:tc>
        <w:tc>
          <w:tcPr>
            <w:tcW w:w="5543" w:type="dxa"/>
            <w:tcBorders>
              <w:top w:val="single" w:color="auto" w:sz="4" w:space="0"/>
              <w:left w:val="nil"/>
              <w:bottom w:val="single" w:color="auto" w:sz="4" w:space="0"/>
              <w:right w:val="single" w:color="auto" w:sz="4" w:space="0"/>
              <w:tl2br w:val="nil"/>
              <w:tr2bl w:val="nil"/>
            </w:tcBorders>
            <w:vAlign w:val="center"/>
          </w:tcPr>
          <w:p w14:paraId="7165FB9F">
            <w:pPr>
              <w:spacing w:line="240" w:lineRule="auto"/>
              <w:rPr>
                <w:sz w:val="28"/>
                <w:szCs w:val="28"/>
              </w:rPr>
            </w:pPr>
            <w:r>
              <w:rPr>
                <w:rFonts w:ascii="方正黑体_GBK" w:hAnsi="方正黑体_GBK" w:eastAsia="方正黑体_GBK" w:cs="宋体"/>
                <w:sz w:val="22"/>
                <w:szCs w:val="22"/>
              </w:rPr>
              <w:t>本理财产品托管人为南京银行股份有限公司，住所：南京市建邺区江山大街88号，联系方式：95302。</w:t>
            </w:r>
          </w:p>
          <w:p w14:paraId="17411010">
            <w:pPr>
              <w:spacing w:line="240" w:lineRule="auto"/>
              <w:rPr>
                <w:sz w:val="28"/>
                <w:szCs w:val="28"/>
              </w:rPr>
            </w:pPr>
            <w:r>
              <w:rPr>
                <w:rFonts w:ascii="方正黑体_GBK" w:hAnsi="方正黑体_GBK" w:eastAsia="方正黑体_GBK" w:cs="宋体"/>
                <w:sz w:val="22"/>
                <w:szCs w:val="22"/>
              </w:rPr>
              <w:t>主要职责如下：</w:t>
            </w:r>
          </w:p>
          <w:p w14:paraId="616809F0">
            <w:pPr>
              <w:spacing w:line="240" w:lineRule="auto"/>
              <w:rPr>
                <w:sz w:val="28"/>
                <w:szCs w:val="28"/>
              </w:rPr>
            </w:pPr>
            <w:r>
              <w:rPr>
                <w:rFonts w:ascii="方正黑体_GBK" w:hAnsi="方正黑体_GBK" w:eastAsia="方正黑体_GBK" w:cs="宋体"/>
                <w:sz w:val="22"/>
                <w:szCs w:val="22"/>
              </w:rPr>
              <w:t>1.安全保管理财产品财产；</w:t>
            </w:r>
          </w:p>
          <w:p w14:paraId="6E18EEBF">
            <w:pPr>
              <w:spacing w:line="240" w:lineRule="auto"/>
              <w:rPr>
                <w:sz w:val="28"/>
                <w:szCs w:val="28"/>
              </w:rPr>
            </w:pPr>
            <w:r>
              <w:rPr>
                <w:rFonts w:ascii="方正黑体_GBK" w:hAnsi="方正黑体_GBK" w:eastAsia="方正黑体_GBK" w:cs="宋体"/>
                <w:sz w:val="22"/>
                <w:szCs w:val="22"/>
              </w:rPr>
              <w:t>2.为每只理财产品开设独立的托管账户，不同托管账户中的资产应当相互独立；</w:t>
            </w:r>
          </w:p>
          <w:p w14:paraId="457CB066">
            <w:pPr>
              <w:spacing w:line="240" w:lineRule="auto"/>
              <w:rPr>
                <w:sz w:val="28"/>
                <w:szCs w:val="28"/>
              </w:rPr>
            </w:pPr>
            <w:r>
              <w:rPr>
                <w:rFonts w:ascii="方正黑体_GBK" w:hAnsi="方正黑体_GBK" w:eastAsia="方正黑体_GBK" w:cs="宋体"/>
                <w:sz w:val="22"/>
                <w:szCs w:val="22"/>
              </w:rPr>
              <w:t>3.按照托管协议约定和管理人的投资指令，及时办理清算、交割事宜；</w:t>
            </w:r>
          </w:p>
          <w:p w14:paraId="7BF2C22C">
            <w:pPr>
              <w:spacing w:line="240" w:lineRule="auto"/>
              <w:rPr>
                <w:sz w:val="28"/>
                <w:szCs w:val="28"/>
              </w:rPr>
            </w:pPr>
            <w:r>
              <w:rPr>
                <w:rFonts w:ascii="方正黑体_GBK" w:hAnsi="方正黑体_GBK" w:eastAsia="方正黑体_GBK" w:cs="宋体"/>
                <w:sz w:val="22"/>
                <w:szCs w:val="22"/>
              </w:rPr>
              <w:t>4.建立与管理人的对账机制，复核、审查理财产品资金头寸、资产账目、资产净值、认购和赎回价格等数据，及时核查认购、赎回以及投资资金的支付和到账情况；</w:t>
            </w:r>
          </w:p>
          <w:p w14:paraId="7A64B09E">
            <w:pPr>
              <w:spacing w:line="240" w:lineRule="auto"/>
              <w:rPr>
                <w:sz w:val="28"/>
                <w:szCs w:val="28"/>
              </w:rPr>
            </w:pPr>
            <w:r>
              <w:rPr>
                <w:rFonts w:ascii="方正黑体_GBK" w:hAnsi="方正黑体_GBK" w:eastAsia="方正黑体_GBK" w:cs="宋体"/>
                <w:sz w:val="22"/>
                <w:szCs w:val="22"/>
              </w:rPr>
              <w:t>5.监督理财产品投资运作，发现理财产品违反法律、行政法规、规章规定或合同约定进行投资的，应当拒绝执行，及时通知管理人并报告银行业监督管理机构；</w:t>
            </w:r>
          </w:p>
          <w:p w14:paraId="2972D1C8">
            <w:pPr>
              <w:spacing w:line="240" w:lineRule="auto"/>
              <w:rPr>
                <w:sz w:val="28"/>
                <w:szCs w:val="28"/>
              </w:rPr>
            </w:pPr>
            <w:r>
              <w:rPr>
                <w:rFonts w:ascii="方正黑体_GBK" w:hAnsi="方正黑体_GBK" w:eastAsia="方正黑体_GBK" w:cs="宋体"/>
                <w:sz w:val="22"/>
                <w:szCs w:val="22"/>
              </w:rPr>
              <w:t>6.办理与理财产品托管业务活动相关的信息披露事项，包括披露理财产品托管协议、对理财产品信息披露文件中的理财产品财务会计报告等出具意见，以及在公募理财产品半年度和年度报告中出具理财托管机构报告等；</w:t>
            </w:r>
          </w:p>
          <w:p w14:paraId="689F0EEB">
            <w:pPr>
              <w:spacing w:line="240" w:lineRule="auto"/>
              <w:rPr>
                <w:sz w:val="28"/>
                <w:szCs w:val="28"/>
              </w:rPr>
            </w:pPr>
            <w:r>
              <w:rPr>
                <w:rFonts w:ascii="方正黑体_GBK" w:hAnsi="方正黑体_GBK" w:eastAsia="方正黑体_GBK" w:cs="宋体"/>
                <w:sz w:val="22"/>
                <w:szCs w:val="22"/>
              </w:rPr>
              <w:t>7.理财托管业务活动的记录、账册、报表和其他相关资料保存20年以上；</w:t>
            </w:r>
          </w:p>
          <w:p w14:paraId="1BAC5FF2">
            <w:pPr>
              <w:spacing w:line="240" w:lineRule="auto"/>
              <w:rPr>
                <w:sz w:val="28"/>
                <w:szCs w:val="28"/>
              </w:rPr>
            </w:pPr>
            <w:r>
              <w:rPr>
                <w:rFonts w:ascii="方正黑体_GBK" w:hAnsi="方正黑体_GBK" w:eastAsia="方正黑体_GBK" w:cs="宋体"/>
                <w:sz w:val="22"/>
                <w:szCs w:val="22"/>
              </w:rPr>
              <w:t>8.对理财产品投资信息和相关资料承担保密责任，除法律、行政法规、规章规定、审计要求或者合同约定外，不得向任何机构或者个人提供相关信息和资料；</w:t>
            </w:r>
          </w:p>
          <w:p w14:paraId="69479001">
            <w:pPr>
              <w:spacing w:line="240" w:lineRule="auto"/>
              <w:rPr>
                <w:sz w:val="28"/>
                <w:szCs w:val="28"/>
              </w:rPr>
            </w:pPr>
            <w:r>
              <w:rPr>
                <w:rFonts w:ascii="方正黑体_GBK" w:hAnsi="方正黑体_GBK" w:eastAsia="方正黑体_GBK" w:cs="宋体"/>
                <w:sz w:val="22"/>
                <w:szCs w:val="22"/>
              </w:rPr>
              <w:t>9.国务院银行业监督管理机构规定及本理财产品相关托管协议中约定的其他职责。</w:t>
            </w:r>
          </w:p>
        </w:tc>
      </w:tr>
      <w:tr w14:paraId="7D3F2351">
        <w:trPr>
          <w:trHeight w:val="59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114300C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拟进行合作的理财投资合作机构</w:t>
            </w:r>
          </w:p>
        </w:tc>
        <w:tc>
          <w:tcPr>
            <w:tcW w:w="5543" w:type="dxa"/>
            <w:tcBorders>
              <w:top w:val="single" w:color="auto" w:sz="4" w:space="0"/>
              <w:left w:val="nil"/>
              <w:bottom w:val="single" w:color="auto" w:sz="4" w:space="0"/>
              <w:right w:val="single" w:color="auto" w:sz="4" w:space="0"/>
              <w:tl2br w:val="nil"/>
              <w:tr2bl w:val="nil"/>
            </w:tcBorders>
            <w:vAlign w:val="center"/>
          </w:tcPr>
          <w:p w14:paraId="73AFE059">
            <w:pPr>
              <w:spacing w:line="240" w:lineRule="auto"/>
              <w:rPr>
                <w:sz w:val="28"/>
                <w:szCs w:val="28"/>
              </w:rPr>
            </w:pPr>
            <w:r>
              <w:rPr>
                <w:rFonts w:ascii="方正黑体_GBK" w:hAnsi="方正黑体_GBK" w:eastAsia="方正黑体_GBK" w:cs="宋体"/>
                <w:sz w:val="22"/>
                <w:szCs w:val="22"/>
              </w:rPr>
              <w:t>本理财产品合作机构为大家资产管理有限责任公司、光大永明资产管理股份有限公司、国联基金管理有限公司、国投泰康信托有限公司、华能贵诚信托有限公司、华泰资产管理有限公司、华鑫国际信托有限公司、建信保险资产管理有限公司、江苏省国际信托有限责任公司、平安资产管理有限责任公司、泰康资产管理有限责任公司、太平洋资产管理有限责任公司、太平资产管理有限公司、天津信托有限责任公司、云南国际信托有限公司、中国人保资产管理有限公司、中粮信托有限责任公司、中信信托有限责任公司、鑫元基金管理有限公司，上述投资合作机构主要职责对应如下，具体职责以管理人与投资合作机构签署的合同为准。</w:t>
            </w:r>
          </w:p>
          <w:p w14:paraId="11871411">
            <w:pPr>
              <w:spacing w:line="240" w:lineRule="auto"/>
              <w:rPr>
                <w:sz w:val="28"/>
                <w:szCs w:val="28"/>
              </w:rPr>
            </w:pPr>
            <w:r>
              <w:rPr>
                <w:rFonts w:ascii="方正黑体_GBK" w:hAnsi="方正黑体_GBK" w:eastAsia="方正黑体_GBK" w:cs="宋体"/>
                <w:sz w:val="22"/>
                <w:szCs w:val="22"/>
              </w:rPr>
              <w:t>1.合作机构为理财产品所投资资产管理产品的发行机构，主要承担资产管理产品的管理人职责：平安资产管理有限责任公司、太平洋资产管理有限责任公司、太平资产管理有限公司、中国人保资产管理有限公司。</w:t>
            </w:r>
          </w:p>
          <w:p w14:paraId="0A741031">
            <w:pPr>
              <w:spacing w:line="240" w:lineRule="auto"/>
              <w:rPr>
                <w:sz w:val="28"/>
                <w:szCs w:val="28"/>
              </w:rPr>
            </w:pPr>
            <w:r>
              <w:rPr>
                <w:rFonts w:ascii="方正黑体_GBK" w:hAnsi="方正黑体_GBK" w:eastAsia="方正黑体_GBK" w:cs="宋体"/>
                <w:sz w:val="22"/>
                <w:szCs w:val="22"/>
              </w:rPr>
              <w:t>2.合作机构为从事理财产品受托投资的机构，主要承担根据合同约定进行受托资金的投资管理的职责：大家资产管理有限责任公司、光大永明资产管理股份有限公司、国联基金管理有限公司、国投泰康信托有限公司、华能贵诚信托有限公司、华泰资产管理有限公司、华鑫国际信托有限公司、建信保险资产管理有限公司、江苏省国际信托有限责任公司、泰康资产管理有限责任公司、天津信托有限责任公司、云南国际信托有限公司、中粮信托有限责任公司、中信信托有限责任公司、鑫元基金管理有限公司。</w:t>
            </w:r>
          </w:p>
          <w:p w14:paraId="58E85710">
            <w:pPr>
              <w:spacing w:line="240" w:lineRule="auto"/>
              <w:rPr>
                <w:sz w:val="28"/>
                <w:szCs w:val="28"/>
              </w:rPr>
            </w:pPr>
            <w:r>
              <w:rPr>
                <w:rFonts w:ascii="方正黑体_GBK" w:hAnsi="方正黑体_GBK" w:eastAsia="方正黑体_GBK" w:cs="宋体"/>
                <w:sz w:val="22"/>
                <w:szCs w:val="22"/>
              </w:rPr>
              <w:t>若上述合作机构及其职责发生调整，管理人将在本理财产品的定期报告中进行信息披露。</w:t>
            </w:r>
          </w:p>
          <w:p w14:paraId="71F897E4">
            <w:pPr>
              <w:spacing w:line="240" w:lineRule="auto"/>
              <w:rPr>
                <w:sz w:val="28"/>
                <w:szCs w:val="28"/>
              </w:rPr>
            </w:pPr>
            <w:r>
              <w:rPr>
                <w:rFonts w:ascii="方正黑体_GBK" w:hAnsi="方正黑体_GBK" w:eastAsia="方正黑体_GBK" w:cs="宋体"/>
                <w:sz w:val="22"/>
                <w:szCs w:val="22"/>
              </w:rPr>
              <w:t>上述投资合作机构简介：</w:t>
            </w:r>
          </w:p>
          <w:p w14:paraId="08950598">
            <w:pPr>
              <w:spacing w:line="240" w:lineRule="auto"/>
              <w:rPr>
                <w:sz w:val="28"/>
                <w:szCs w:val="28"/>
              </w:rPr>
            </w:pPr>
            <w:r>
              <w:rPr>
                <w:rFonts w:ascii="方正黑体_GBK" w:hAnsi="方正黑体_GBK" w:eastAsia="方正黑体_GBK" w:cs="宋体"/>
                <w:sz w:val="22"/>
                <w:szCs w:val="22"/>
              </w:rPr>
              <w:t>大家资产管理有限责任公司成立于2011年05月20日，注册资本金6亿元人民币。</w:t>
            </w:r>
          </w:p>
          <w:p w14:paraId="4688792F">
            <w:pPr>
              <w:spacing w:line="240" w:lineRule="auto"/>
              <w:rPr>
                <w:sz w:val="28"/>
                <w:szCs w:val="28"/>
              </w:rPr>
            </w:pPr>
            <w:r>
              <w:rPr>
                <w:rFonts w:ascii="方正黑体_GBK" w:hAnsi="方正黑体_GBK" w:eastAsia="方正黑体_GBK" w:cs="宋体"/>
                <w:sz w:val="22"/>
                <w:szCs w:val="22"/>
              </w:rPr>
              <w:t>光大永明资产管理股份有限公司成立于2012年03月02日，注册资本金5亿元。</w:t>
            </w:r>
          </w:p>
          <w:p w14:paraId="0F0FA25E">
            <w:pPr>
              <w:spacing w:line="240" w:lineRule="auto"/>
              <w:rPr>
                <w:sz w:val="28"/>
                <w:szCs w:val="28"/>
              </w:rPr>
            </w:pPr>
            <w:r>
              <w:rPr>
                <w:rFonts w:ascii="方正黑体_GBK" w:hAnsi="方正黑体_GBK" w:eastAsia="方正黑体_GBK" w:cs="宋体"/>
                <w:sz w:val="22"/>
                <w:szCs w:val="22"/>
              </w:rPr>
              <w:t>国联基金管理有限公司成立于2013年05月31日，注册资本金11.5亿元。</w:t>
            </w:r>
          </w:p>
          <w:p w14:paraId="008914EE">
            <w:pPr>
              <w:spacing w:line="240" w:lineRule="auto"/>
              <w:rPr>
                <w:sz w:val="28"/>
                <w:szCs w:val="28"/>
              </w:rPr>
            </w:pPr>
            <w:r>
              <w:rPr>
                <w:rFonts w:ascii="方正黑体_GBK" w:hAnsi="方正黑体_GBK" w:eastAsia="方正黑体_GBK" w:cs="宋体"/>
                <w:sz w:val="22"/>
                <w:szCs w:val="22"/>
              </w:rPr>
              <w:t>国投泰康信托有限公司成立于1986年06月26日，注册资本金267,054.5454万人民币。</w:t>
            </w:r>
          </w:p>
          <w:p w14:paraId="2D725A1C">
            <w:pPr>
              <w:spacing w:line="240" w:lineRule="auto"/>
              <w:rPr>
                <w:sz w:val="28"/>
                <w:szCs w:val="28"/>
              </w:rPr>
            </w:pPr>
            <w:r>
              <w:rPr>
                <w:rFonts w:ascii="方正黑体_GBK" w:hAnsi="方正黑体_GBK" w:eastAsia="方正黑体_GBK" w:cs="宋体"/>
                <w:sz w:val="22"/>
                <w:szCs w:val="22"/>
              </w:rPr>
              <w:t>华能贵诚信托有限公司成立于2002年09月29日，注册资本金619,455.7406万元人民币。</w:t>
            </w:r>
          </w:p>
          <w:p w14:paraId="26FB94AF">
            <w:pPr>
              <w:spacing w:line="240" w:lineRule="auto"/>
              <w:rPr>
                <w:sz w:val="28"/>
                <w:szCs w:val="28"/>
              </w:rPr>
            </w:pPr>
            <w:r>
              <w:rPr>
                <w:rFonts w:ascii="方正黑体_GBK" w:hAnsi="方正黑体_GBK" w:eastAsia="方正黑体_GBK" w:cs="宋体"/>
                <w:sz w:val="22"/>
                <w:szCs w:val="22"/>
              </w:rPr>
              <w:t>华泰资产管理有限公司成立于2005年01月18日，注册资本金60060万元人民币。</w:t>
            </w:r>
          </w:p>
          <w:p w14:paraId="16B028ED">
            <w:pPr>
              <w:spacing w:line="240" w:lineRule="auto"/>
              <w:rPr>
                <w:sz w:val="28"/>
                <w:szCs w:val="28"/>
              </w:rPr>
            </w:pPr>
            <w:r>
              <w:rPr>
                <w:rFonts w:ascii="方正黑体_GBK" w:hAnsi="方正黑体_GBK" w:eastAsia="方正黑体_GBK" w:cs="宋体"/>
                <w:sz w:val="22"/>
                <w:szCs w:val="22"/>
              </w:rPr>
              <w:t>华鑫国际信托有限公司成立于1984年06月01日，注册资本金73.95亿元。</w:t>
            </w:r>
          </w:p>
          <w:p w14:paraId="220D9CA9">
            <w:pPr>
              <w:spacing w:line="240" w:lineRule="auto"/>
              <w:rPr>
                <w:sz w:val="28"/>
                <w:szCs w:val="28"/>
              </w:rPr>
            </w:pPr>
            <w:r>
              <w:rPr>
                <w:rFonts w:ascii="方正黑体_GBK" w:hAnsi="方正黑体_GBK" w:eastAsia="方正黑体_GBK" w:cs="宋体"/>
                <w:sz w:val="22"/>
                <w:szCs w:val="22"/>
              </w:rPr>
              <w:t>建信保险资产管理有限公司成立于2016年04月27日，注册资本金3亿元。</w:t>
            </w:r>
          </w:p>
          <w:p w14:paraId="2484B62D">
            <w:pPr>
              <w:spacing w:line="240" w:lineRule="auto"/>
              <w:rPr>
                <w:sz w:val="28"/>
                <w:szCs w:val="28"/>
              </w:rPr>
            </w:pPr>
            <w:r>
              <w:rPr>
                <w:rFonts w:ascii="方正黑体_GBK" w:hAnsi="方正黑体_GBK" w:eastAsia="方正黑体_GBK" w:cs="宋体"/>
                <w:sz w:val="22"/>
                <w:szCs w:val="22"/>
              </w:rPr>
              <w:t>江苏省国际信托有限责任公司成立于1992年06月01日，注册资本金87.60亿元。</w:t>
            </w:r>
          </w:p>
          <w:p w14:paraId="2153BD6C">
            <w:pPr>
              <w:spacing w:line="240" w:lineRule="auto"/>
              <w:rPr>
                <w:sz w:val="28"/>
                <w:szCs w:val="28"/>
              </w:rPr>
            </w:pPr>
            <w:r>
              <w:rPr>
                <w:rFonts w:ascii="方正黑体_GBK" w:hAnsi="方正黑体_GBK" w:eastAsia="方正黑体_GBK" w:cs="宋体"/>
                <w:sz w:val="22"/>
                <w:szCs w:val="22"/>
              </w:rPr>
              <w:t>平安资产管理有限责任公司成立于2005年05月27日，注册资本金15亿元。</w:t>
            </w:r>
          </w:p>
          <w:p w14:paraId="382AF436">
            <w:pPr>
              <w:spacing w:line="240" w:lineRule="auto"/>
              <w:rPr>
                <w:sz w:val="28"/>
                <w:szCs w:val="28"/>
              </w:rPr>
            </w:pPr>
            <w:r>
              <w:rPr>
                <w:rFonts w:ascii="方正黑体_GBK" w:hAnsi="方正黑体_GBK" w:eastAsia="方正黑体_GBK" w:cs="宋体"/>
                <w:sz w:val="22"/>
                <w:szCs w:val="22"/>
              </w:rPr>
              <w:t>泰康资产管理有限责任公司成立于2006年02月21日，注册资本金10亿元。</w:t>
            </w:r>
          </w:p>
          <w:p w14:paraId="18D9E0EF">
            <w:pPr>
              <w:spacing w:line="240" w:lineRule="auto"/>
              <w:rPr>
                <w:sz w:val="28"/>
                <w:szCs w:val="28"/>
              </w:rPr>
            </w:pPr>
            <w:r>
              <w:rPr>
                <w:rFonts w:ascii="方正黑体_GBK" w:hAnsi="方正黑体_GBK" w:eastAsia="方正黑体_GBK" w:cs="宋体"/>
                <w:sz w:val="22"/>
                <w:szCs w:val="22"/>
              </w:rPr>
              <w:t>太平洋资产管理有限责任公司成立于2006年06月09日，注册资本金21亿元。</w:t>
            </w:r>
          </w:p>
          <w:p w14:paraId="0F0F33E6">
            <w:pPr>
              <w:spacing w:line="240" w:lineRule="auto"/>
              <w:rPr>
                <w:sz w:val="28"/>
                <w:szCs w:val="28"/>
              </w:rPr>
            </w:pPr>
            <w:r>
              <w:rPr>
                <w:rFonts w:ascii="方正黑体_GBK" w:hAnsi="方正黑体_GBK" w:eastAsia="方正黑体_GBK" w:cs="宋体"/>
                <w:sz w:val="22"/>
                <w:szCs w:val="22"/>
              </w:rPr>
              <w:t>太平资产管理有限公司成立于2006年09月01日，注册资本金10亿元。</w:t>
            </w:r>
          </w:p>
          <w:p w14:paraId="594B44A9">
            <w:pPr>
              <w:spacing w:line="240" w:lineRule="auto"/>
              <w:rPr>
                <w:sz w:val="28"/>
                <w:szCs w:val="28"/>
              </w:rPr>
            </w:pPr>
            <w:r>
              <w:rPr>
                <w:rFonts w:ascii="方正黑体_GBK" w:hAnsi="方正黑体_GBK" w:eastAsia="方正黑体_GBK" w:cs="宋体"/>
                <w:sz w:val="22"/>
                <w:szCs w:val="22"/>
              </w:rPr>
              <w:t>天津信托有限责任公司成立于1986年09月23日，注册资本金170000万元人民币。</w:t>
            </w:r>
          </w:p>
          <w:p w14:paraId="36661455">
            <w:pPr>
              <w:spacing w:line="240" w:lineRule="auto"/>
              <w:rPr>
                <w:sz w:val="28"/>
                <w:szCs w:val="28"/>
              </w:rPr>
            </w:pPr>
            <w:r>
              <w:rPr>
                <w:rFonts w:ascii="方正黑体_GBK" w:hAnsi="方正黑体_GBK" w:eastAsia="方正黑体_GBK" w:cs="宋体"/>
                <w:sz w:val="22"/>
                <w:szCs w:val="22"/>
              </w:rPr>
              <w:t>云南国际信托有限公司成立于1997年09月03日，注册资本金120000万元人民币。</w:t>
            </w:r>
          </w:p>
          <w:p w14:paraId="4953EF65">
            <w:pPr>
              <w:spacing w:line="240" w:lineRule="auto"/>
              <w:rPr>
                <w:sz w:val="28"/>
                <w:szCs w:val="28"/>
              </w:rPr>
            </w:pPr>
            <w:r>
              <w:rPr>
                <w:rFonts w:ascii="方正黑体_GBK" w:hAnsi="方正黑体_GBK" w:eastAsia="方正黑体_GBK" w:cs="宋体"/>
                <w:sz w:val="22"/>
                <w:szCs w:val="22"/>
              </w:rPr>
              <w:t>中国人保资产管理有限公司成立于2003年07月16日，注册资本金12.98亿元。</w:t>
            </w:r>
          </w:p>
          <w:p w14:paraId="3B258ACE">
            <w:pPr>
              <w:spacing w:line="240" w:lineRule="auto"/>
              <w:rPr>
                <w:sz w:val="28"/>
                <w:szCs w:val="28"/>
              </w:rPr>
            </w:pPr>
            <w:r>
              <w:rPr>
                <w:rFonts w:ascii="方正黑体_GBK" w:hAnsi="方正黑体_GBK" w:eastAsia="方正黑体_GBK" w:cs="宋体"/>
                <w:sz w:val="22"/>
                <w:szCs w:val="22"/>
              </w:rPr>
              <w:t>中粮信托有限责任公司成立于2009年07月27日，注册资本金28.3亿元。</w:t>
            </w:r>
          </w:p>
          <w:p w14:paraId="20C9D775">
            <w:pPr>
              <w:spacing w:line="240" w:lineRule="auto"/>
              <w:rPr>
                <w:sz w:val="28"/>
                <w:szCs w:val="28"/>
              </w:rPr>
            </w:pPr>
            <w:r>
              <w:rPr>
                <w:rFonts w:ascii="方正黑体_GBK" w:hAnsi="方正黑体_GBK" w:eastAsia="方正黑体_GBK" w:cs="宋体"/>
                <w:sz w:val="22"/>
                <w:szCs w:val="22"/>
              </w:rPr>
              <w:t>中信信托有限责任公司成立于1988年03月01日，注册资本金1127600万元人民币。</w:t>
            </w:r>
          </w:p>
          <w:p w14:paraId="5F830E70">
            <w:pPr>
              <w:spacing w:line="240" w:lineRule="auto"/>
              <w:rPr>
                <w:sz w:val="28"/>
                <w:szCs w:val="28"/>
              </w:rPr>
            </w:pPr>
            <w:r>
              <w:rPr>
                <w:rFonts w:ascii="方正黑体_GBK" w:hAnsi="方正黑体_GBK" w:eastAsia="方正黑体_GBK" w:cs="宋体"/>
                <w:sz w:val="22"/>
                <w:szCs w:val="22"/>
              </w:rPr>
              <w:t>鑫元基金管理有限公司成立于2013年08月29日，注册资本金17亿元。</w:t>
            </w:r>
          </w:p>
        </w:tc>
      </w:tr>
      <w:tr w14:paraId="5C2B963A">
        <w:trPr>
          <w:trHeight w:val="314"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5F6E339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s="Times New Roman"/>
                <w:caps w:val="0"/>
                <w:smallCaps w:val="0"/>
                <w:snapToGrid/>
                <w:vanish w:val="0"/>
                <w:color w:val="auto"/>
                <w:kern w:val="0"/>
                <w:sz w:val="22"/>
                <w:szCs w:val="22"/>
                <w:vertAlign w:val="baseline"/>
              </w:rPr>
              <w:t>其他说明事项</w:t>
            </w:r>
          </w:p>
        </w:tc>
        <w:tc>
          <w:tcPr>
            <w:tcW w:w="5543" w:type="dxa"/>
            <w:tcBorders>
              <w:top w:val="single" w:color="auto" w:sz="4" w:space="0"/>
              <w:left w:val="nil"/>
              <w:bottom w:val="single" w:color="auto" w:sz="4" w:space="0"/>
              <w:right w:val="single" w:color="auto" w:sz="4" w:space="0"/>
              <w:tl2br w:val="nil"/>
              <w:tr2bl w:val="nil"/>
            </w:tcBorders>
            <w:vAlign w:val="center"/>
          </w:tcPr>
          <w:p w14:paraId="5049BDFD">
            <w:pPr>
              <w:spacing w:line="240" w:lineRule="auto"/>
              <w:jc w:val="left"/>
              <w:rPr>
                <w:sz w:val="28"/>
                <w:szCs w:val="28"/>
              </w:rPr>
            </w:pPr>
            <w:r>
              <w:rPr>
                <w:rFonts w:ascii="方正黑体_GBK" w:hAnsi="方正黑体_GBK" w:eastAsia="方正黑体_GBK" w:cs="宋体"/>
                <w:color w:val="000000"/>
                <w:sz w:val="22"/>
                <w:szCs w:val="22"/>
              </w:rPr>
              <w:t>1.本理财产品为封闭式产品，在封闭期内不开放申购/赎回，投资者应考虑产品期限并合理安排自身投资计划。</w:t>
            </w:r>
          </w:p>
          <w:p w14:paraId="0D405122">
            <w:pPr>
              <w:spacing w:line="240" w:lineRule="auto"/>
              <w:jc w:val="left"/>
              <w:rPr>
                <w:sz w:val="28"/>
                <w:szCs w:val="28"/>
              </w:rPr>
            </w:pPr>
            <w:r>
              <w:rPr>
                <w:rFonts w:ascii="方正黑体_GBK" w:hAnsi="方正黑体_GBK" w:eastAsia="方正黑体_GBK" w:cs="宋体"/>
                <w:color w:val="000000"/>
                <w:sz w:val="22"/>
                <w:szCs w:val="22"/>
              </w:rPr>
              <w:t>2.管理人在本理财产品存续期间按照监管规定进行信息披露，详见本理财产品说明书第五条信息披露。</w:t>
            </w:r>
          </w:p>
          <w:p w14:paraId="6E8C849E">
            <w:pPr>
              <w:spacing w:line="240" w:lineRule="auto"/>
              <w:jc w:val="left"/>
              <w:rPr>
                <w:sz w:val="28"/>
                <w:szCs w:val="28"/>
              </w:rPr>
            </w:pPr>
            <w:r>
              <w:rPr>
                <w:rFonts w:ascii="方正黑体_GBK" w:hAnsi="方正黑体_GBK" w:eastAsia="方正黑体_GBK" w:cs="宋体"/>
                <w:color w:val="000000"/>
                <w:sz w:val="22"/>
                <w:szCs w:val="22"/>
              </w:rPr>
              <w:t>3.本理财产品投资的资产管理产品的业绩报酬、赎回费等的提取（如有）可能造成本理财产品净值的下降。</w:t>
            </w:r>
          </w:p>
          <w:p w14:paraId="677E40EC">
            <w:pPr>
              <w:spacing w:line="240" w:lineRule="auto"/>
              <w:jc w:val="left"/>
              <w:rPr>
                <w:sz w:val="28"/>
                <w:szCs w:val="28"/>
              </w:rPr>
            </w:pPr>
            <w:r>
              <w:rPr>
                <w:rFonts w:ascii="方正黑体_GBK" w:hAnsi="方正黑体_GBK" w:eastAsia="方正黑体_GBK" w:cs="宋体"/>
                <w:b/>
                <w:color w:val="000000"/>
                <w:sz w:val="22"/>
                <w:szCs w:val="22"/>
              </w:rPr>
              <w:t>4.</w:t>
            </w:r>
            <w:r>
              <w:rPr>
                <w:rFonts w:ascii="方正黑体_GBK" w:hAnsi="方正黑体_GBK" w:eastAsia="方正黑体_GBK" w:cs="宋体"/>
                <w:b/>
                <w:sz w:val="22"/>
                <w:szCs w:val="22"/>
              </w:rPr>
              <w:t>本理财产品计划投资不存在活跃交易市场，并且需要采用估值技术确定公允价值的资产；计划投资上述资产的比例达到理财产品净资产50％以上。</w:t>
            </w:r>
          </w:p>
        </w:tc>
      </w:tr>
      <w:tr w14:paraId="7540F1BD">
        <w:trPr>
          <w:trHeight w:val="329" w:hRule="atLeast"/>
          <w:jc w:val="center"/>
          <w:hidden/>
        </w:trPr>
        <w:tc>
          <w:tcPr>
            <w:tcW w:w="2272" w:type="dxa"/>
            <w:tcBorders>
              <w:top w:val="single" w:color="auto" w:sz="4" w:space="0"/>
              <w:left w:val="single" w:color="auto" w:sz="4" w:space="0"/>
              <w:bottom w:val="single" w:color="auto" w:sz="4" w:space="0"/>
              <w:right w:val="single" w:color="auto" w:sz="4" w:space="0"/>
              <w:tl2br w:val="nil"/>
              <w:tr2bl w:val="nil"/>
            </w:tcBorders>
            <w:vAlign w:val="center"/>
          </w:tcPr>
          <w:p w14:paraId="091DA03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rPr>
                <w:rFonts w:ascii="方正黑体_GBK" w:hAnsi="方正黑体_GBK" w:eastAsia="方正黑体_GBK"/>
                <w:caps w:val="0"/>
                <w:smallCaps w:val="0"/>
                <w:snapToGrid/>
                <w:vanish w:val="0"/>
                <w:color w:val="auto"/>
                <w:kern w:val="0"/>
                <w:sz w:val="22"/>
                <w:szCs w:val="22"/>
                <w:vertAlign w:val="baseline"/>
              </w:rPr>
            </w:pPr>
            <w:r>
              <w:rPr>
                <w:rFonts w:hint="eastAsia" w:ascii="方正黑体_GBK" w:hAnsi="方正黑体_GBK" w:eastAsia="方正黑体_GBK"/>
                <w:caps w:val="0"/>
                <w:smallCaps w:val="0"/>
                <w:snapToGrid/>
                <w:vanish w:val="0"/>
                <w:color w:val="auto"/>
                <w:kern w:val="0"/>
                <w:sz w:val="22"/>
                <w:szCs w:val="22"/>
                <w:vertAlign w:val="baseline"/>
              </w:rPr>
              <w:t>税务处理</w:t>
            </w:r>
          </w:p>
        </w:tc>
        <w:tc>
          <w:tcPr>
            <w:tcW w:w="5543" w:type="dxa"/>
            <w:tcBorders>
              <w:top w:val="single" w:color="auto" w:sz="4" w:space="0"/>
              <w:left w:val="nil"/>
              <w:bottom w:val="single" w:color="auto" w:sz="4" w:space="0"/>
              <w:right w:val="single" w:color="auto" w:sz="4" w:space="0"/>
              <w:tl2br w:val="nil"/>
              <w:tr2bl w:val="nil"/>
            </w:tcBorders>
            <w:vAlign w:val="center"/>
          </w:tcPr>
          <w:p w14:paraId="59077BB7">
            <w:pPr>
              <w:spacing w:line="240" w:lineRule="auto"/>
              <w:rPr>
                <w:sz w:val="28"/>
                <w:szCs w:val="28"/>
              </w:rPr>
            </w:pPr>
            <w:r>
              <w:rPr>
                <w:rFonts w:ascii="方正黑体_GBK" w:hAnsi="方正黑体_GBK" w:eastAsia="方正黑体_GBK" w:cs="宋体"/>
                <w:sz w:val="22"/>
                <w:szCs w:val="22"/>
              </w:rPr>
              <w:t>本理财产品运作过程中涉及的各纳税主体，其纳税义务按国家税收法律、法规执行。理财产品运营过程中发生的增值税应税行为，由管理人作为增值税纳税人进行缴纳，税金由本理财产品承担。除法律法规特别要求外，投资者应缴纳的税收由投资者负责，管理人不负责代扣代缴。</w:t>
            </w:r>
          </w:p>
        </w:tc>
      </w:tr>
    </w:tbl>
    <w:p w14:paraId="7ADFE530">
      <w:pPr>
        <w:pStyle w:val="29"/>
        <w:spacing w:line="240" w:lineRule="auto"/>
        <w:rPr>
          <w:rFonts w:hint="eastAsia" w:ascii="方正黑体_GBK" w:hAnsi="方正黑体_GBK" w:eastAsia="方正黑体_GBK"/>
          <w:b/>
          <w:sz w:val="20"/>
          <w:szCs w:val="20"/>
        </w:rPr>
      </w:pPr>
      <w:r>
        <w:rPr>
          <w:rFonts w:ascii="方正黑体_GBK" w:hAnsi="方正黑体_GBK" w:eastAsia="方正黑体_GBK"/>
          <w:b/>
          <w:caps w:val="0"/>
          <w:smallCaps w:val="0"/>
          <w:snapToGrid/>
          <w:vanish w:val="0"/>
          <w:color w:val="auto"/>
          <w:sz w:val="20"/>
          <w:szCs w:val="20"/>
          <w:vertAlign w:val="baseline"/>
        </w:rPr>
        <w:t>特别说明：本理财产品无预期收益率，</w:t>
      </w:r>
      <w:r>
        <w:rPr>
          <w:rFonts w:ascii="方正黑体_GBK" w:hAnsi="方正黑体_GBK" w:eastAsia="方正黑体_GBK"/>
          <w:b/>
          <w:caps w:val="0"/>
          <w:smallCaps w:val="0"/>
          <w:snapToGrid/>
          <w:vanish w:val="0"/>
          <w:color w:val="auto"/>
          <w:sz w:val="20"/>
          <w:szCs w:val="20"/>
          <w:u w:val="single"/>
          <w:vertAlign w:val="baseline"/>
        </w:rPr>
        <w:t>理财产品过往业绩不代表其未来表现，不等于理财产品实际收益，</w:t>
      </w:r>
      <w:r>
        <w:rPr>
          <w:rFonts w:ascii="方正黑体_GBK" w:hAnsi="方正黑体_GBK" w:eastAsia="方正黑体_GBK"/>
          <w:b/>
          <w:caps w:val="0"/>
          <w:smallCaps w:val="0"/>
          <w:snapToGrid/>
          <w:vanish w:val="0"/>
          <w:color w:val="auto"/>
          <w:sz w:val="20"/>
          <w:szCs w:val="20"/>
          <w:vertAlign w:val="baseline"/>
        </w:rPr>
        <w:t>投资须谨慎。</w:t>
      </w:r>
    </w:p>
    <w:p w14:paraId="719A415D">
      <w:pPr>
        <w:pStyle w:val="44"/>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left="0"/>
        <w:outlineLvl w:val="0"/>
        <w:rPr>
          <w:rFonts w:ascii="方正黑体_GBK" w:hAnsi="方正黑体_GBK" w:eastAsia="方正黑体_GBK"/>
          <w:b/>
          <w:bCs/>
          <w:vanish w:val="0"/>
          <w:color w:val="3D3D3D"/>
          <w:kern w:val="0"/>
          <w:sz w:val="20"/>
          <w:szCs w:val="20"/>
        </w:rPr>
      </w:pPr>
      <w:r>
        <w:rPr>
          <w:rFonts w:hint="eastAsia" w:ascii="方正黑体_GBK" w:hAnsi="方正黑体_GBK" w:eastAsia="方正黑体_GBK"/>
          <w:b/>
          <w:bCs/>
          <w:vanish w:val="0"/>
          <w:color w:val="3D3D3D"/>
          <w:kern w:val="0"/>
          <w:sz w:val="20"/>
          <w:szCs w:val="20"/>
        </w:rPr>
        <w:t>第二条</w:t>
      </w:r>
      <w:r>
        <w:rPr>
          <w:rFonts w:hint="eastAsia" w:ascii="方正黑体_GBK" w:hAnsi="方正黑体_GBK" w:eastAsia="方正黑体_GBK" w:cs="Times New Roman"/>
          <w:b/>
          <w:bCs/>
          <w:vanish w:val="0"/>
          <w:color w:val="3D3D3D"/>
          <w:kern w:val="0"/>
          <w:sz w:val="20"/>
          <w:szCs w:val="20"/>
        </w:rPr>
        <w:t xml:space="preserve">  </w:t>
      </w:r>
      <w:r>
        <w:rPr>
          <w:rFonts w:hint="eastAsia" w:ascii="方正黑体_GBK" w:hAnsi="方正黑体_GBK" w:eastAsia="方正黑体_GBK"/>
          <w:b/>
          <w:bCs/>
          <w:vanish w:val="0"/>
          <w:color w:val="3D3D3D"/>
          <w:kern w:val="0"/>
          <w:sz w:val="20"/>
          <w:szCs w:val="20"/>
        </w:rPr>
        <w:t>名词释义</w:t>
      </w:r>
    </w:p>
    <w:p w14:paraId="3E9D8440">
      <w:pPr>
        <w:pStyle w:val="44"/>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289"/>
        <w:rPr>
          <w:rFonts w:ascii="方正黑体_GBK" w:hAnsi="方正黑体_GBK" w:eastAsia="方正黑体_GBK"/>
          <w:vanish w:val="0"/>
          <w:color w:val="3D3D3D"/>
          <w:kern w:val="0"/>
          <w:sz w:val="20"/>
          <w:szCs w:val="20"/>
        </w:rPr>
      </w:pPr>
      <w:r>
        <w:rPr>
          <w:rFonts w:hint="eastAsia" w:ascii="方正黑体_GBK" w:hAnsi="方正黑体_GBK" w:eastAsia="方正黑体_GBK"/>
          <w:vanish w:val="0"/>
          <w:color w:val="3D3D3D"/>
          <w:kern w:val="0"/>
          <w:sz w:val="20"/>
          <w:szCs w:val="20"/>
        </w:rPr>
        <w:t>在本理财产品说明书中，除非上下文另有明确约定，下列用词将具有如下含义：</w:t>
      </w:r>
    </w:p>
    <w:p w14:paraId="3A7624E5">
      <w:pPr>
        <w:pStyle w:val="44"/>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uppressAutoHyphens w:val="0"/>
        <w:spacing w:line="240" w:lineRule="auto"/>
        <w:ind w:left="0" w:firstLine="289"/>
        <w:outlineLvl w:val="1"/>
        <w:rPr>
          <w:rFonts w:ascii="方正黑体_GBK" w:hAnsi="方正黑体_GBK" w:eastAsia="方正黑体_GBK"/>
          <w:vanish w:val="0"/>
          <w:color w:val="3D3D3D"/>
          <w:kern w:val="0"/>
          <w:sz w:val="20"/>
          <w:szCs w:val="20"/>
        </w:rPr>
      </w:pPr>
      <w:r>
        <w:rPr>
          <w:rFonts w:hint="eastAsia" w:ascii="方正黑体_GBK" w:hAnsi="方正黑体_GBK" w:eastAsia="方正黑体_GBK"/>
          <w:vanish w:val="0"/>
          <w:color w:val="3D3D3D"/>
          <w:kern w:val="0"/>
          <w:sz w:val="20"/>
          <w:szCs w:val="20"/>
        </w:rPr>
        <w:t>参与主体用语</w:t>
      </w:r>
    </w:p>
    <w:p w14:paraId="66C88BA4">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1.南银理财/管理人/</w:t>
      </w:r>
      <w:r>
        <w:rPr>
          <w:rFonts w:hint="eastAsia" w:ascii="方正黑体_GBK" w:hAnsi="方正黑体_GBK" w:eastAsia="方正黑体_GBK"/>
          <w:color w:val="3D3D3D"/>
          <w:kern w:val="0"/>
          <w:sz w:val="20"/>
          <w:szCs w:val="20"/>
          <w:highlight w:val="none"/>
          <w:lang w:val="en-US" w:eastAsia="zh-CN"/>
        </w:rPr>
        <w:t>产品管理人/</w:t>
      </w:r>
      <w:r>
        <w:rPr>
          <w:rFonts w:ascii="方正黑体_GBK" w:hAnsi="方正黑体_GBK" w:eastAsia="方正黑体_GBK"/>
          <w:color w:val="3D3D3D"/>
          <w:kern w:val="0"/>
          <w:sz w:val="20"/>
          <w:szCs w:val="20"/>
          <w:highlight w:val="none"/>
        </w:rPr>
        <w:t>理财产品管理人：指南银理财有限责任公司。</w:t>
      </w:r>
    </w:p>
    <w:p w14:paraId="206C3619">
      <w:pPr>
        <w:pStyle w:val="44"/>
        <w:keepNext w:val="0"/>
        <w:keepLines w:val="0"/>
        <w:pageBreakBefore w:val="0"/>
        <w:widowControl/>
        <w:suppressLineNumbers w:val="0"/>
        <w:tabs>
          <w:tab w:val="left" w:pos="567"/>
        </w:tabs>
        <w:suppressAutoHyphens w:val="0"/>
        <w:spacing w:line="240" w:lineRule="auto"/>
        <w:ind w:firstLine="0"/>
        <w:outlineLvl w:val="1"/>
        <w:rPr>
          <w:color w:val="3D3D3D"/>
          <w:kern w:val="0"/>
          <w:sz w:val="20"/>
          <w:szCs w:val="20"/>
          <w:highlight w:val="none"/>
        </w:rPr>
      </w:pPr>
      <w:r>
        <w:rPr>
          <w:rFonts w:hint="eastAsia" w:ascii="方正黑体_GBK" w:hAnsi="方正黑体_GBK" w:eastAsia="方正黑体_GBK"/>
          <w:color w:val="3D3D3D"/>
          <w:kern w:val="0"/>
          <w:sz w:val="20"/>
          <w:szCs w:val="20"/>
          <w:highlight w:val="none"/>
          <w:lang w:eastAsia="zh-CN"/>
        </w:rPr>
        <w:t xml:space="preserve">     2.销售</w:t>
      </w:r>
      <w:r>
        <w:rPr>
          <w:rFonts w:hint="eastAsia" w:ascii="方正黑体_GBK" w:hAnsi="方正黑体_GBK" w:eastAsia="方正黑体_GBK"/>
          <w:color w:val="3D3D3D"/>
          <w:kern w:val="0"/>
          <w:sz w:val="20"/>
          <w:szCs w:val="20"/>
          <w:highlight w:val="none"/>
        </w:rPr>
        <w:t>机构：指</w:t>
      </w:r>
      <w:r>
        <w:rPr>
          <w:rFonts w:hint="eastAsia" w:ascii="方正黑体_GBK" w:hAnsi="方正黑体_GBK" w:eastAsia="方正黑体_GBK"/>
          <w:color w:val="3D3D3D"/>
          <w:kern w:val="0"/>
          <w:sz w:val="20"/>
          <w:szCs w:val="20"/>
          <w:highlight w:val="none"/>
          <w:lang w:eastAsia="zh-CN"/>
        </w:rPr>
        <w:t>本</w:t>
      </w:r>
      <w:r>
        <w:rPr>
          <w:rFonts w:hint="eastAsia" w:ascii="方正黑体_GBK" w:hAnsi="方正黑体_GBK" w:eastAsia="方正黑体_GBK"/>
          <w:color w:val="3D3D3D"/>
          <w:kern w:val="0"/>
          <w:sz w:val="20"/>
          <w:szCs w:val="20"/>
          <w:highlight w:val="none"/>
        </w:rPr>
        <w:t>理财产品的销售机构</w:t>
      </w:r>
      <w:r>
        <w:rPr>
          <w:rFonts w:hint="eastAsia" w:ascii="方正黑体_GBK" w:hAnsi="方正黑体_GBK" w:eastAsia="方正黑体_GBK"/>
          <w:color w:val="3D3D3D"/>
          <w:kern w:val="0"/>
          <w:sz w:val="20"/>
          <w:szCs w:val="20"/>
          <w:highlight w:val="none"/>
          <w:lang w:eastAsia="zh-CN"/>
        </w:rPr>
        <w:t>，</w:t>
      </w:r>
      <w:r>
        <w:rPr>
          <w:rFonts w:hint="eastAsia" w:ascii="方正黑体_GBK" w:hAnsi="方正黑体_GBK" w:eastAsia="方正黑体_GBK"/>
          <w:color w:val="3D3D3D"/>
          <w:kern w:val="0"/>
          <w:sz w:val="20"/>
          <w:szCs w:val="20"/>
          <w:highlight w:val="none"/>
          <w:lang w:val="en-US" w:eastAsia="zh-CN"/>
        </w:rPr>
        <w:t>包括</w:t>
      </w:r>
      <w:r>
        <w:rPr>
          <w:rFonts w:hint="eastAsia" w:ascii="方正黑体_GBK" w:hAnsi="方正黑体_GBK" w:eastAsia="方正黑体_GBK"/>
          <w:color w:val="3D3D3D"/>
          <w:kern w:val="0"/>
          <w:sz w:val="20"/>
          <w:szCs w:val="20"/>
          <w:highlight w:val="none"/>
        </w:rPr>
        <w:t>销售本公司发行理财产品的理财公司</w:t>
      </w:r>
      <w:r>
        <w:rPr>
          <w:rFonts w:hint="eastAsia" w:ascii="方正黑体_GBK" w:hAnsi="方正黑体_GBK" w:eastAsia="方正黑体_GBK"/>
          <w:color w:val="3D3D3D"/>
          <w:kern w:val="0"/>
          <w:sz w:val="20"/>
          <w:szCs w:val="20"/>
          <w:highlight w:val="none"/>
          <w:lang w:val="en-US" w:eastAsia="zh-CN"/>
        </w:rPr>
        <w:t>即南银理财，以及</w:t>
      </w:r>
      <w:r>
        <w:rPr>
          <w:rFonts w:hint="eastAsia" w:ascii="方正黑体_GBK" w:hAnsi="方正黑体_GBK" w:eastAsia="方正黑体_GBK"/>
          <w:color w:val="3D3D3D"/>
          <w:kern w:val="0"/>
          <w:sz w:val="20"/>
          <w:szCs w:val="20"/>
          <w:highlight w:val="none"/>
        </w:rPr>
        <w:t>接受</w:t>
      </w:r>
      <w:r>
        <w:rPr>
          <w:rFonts w:hint="eastAsia" w:ascii="方正黑体_GBK" w:hAnsi="方正黑体_GBK" w:eastAsia="方正黑体_GBK"/>
          <w:color w:val="3D3D3D"/>
          <w:kern w:val="0"/>
          <w:sz w:val="20"/>
          <w:szCs w:val="20"/>
          <w:highlight w:val="none"/>
          <w:lang w:val="en-US" w:eastAsia="zh-CN"/>
        </w:rPr>
        <w:t>南银理财</w:t>
      </w:r>
      <w:r>
        <w:rPr>
          <w:rFonts w:hint="eastAsia" w:ascii="方正黑体_GBK" w:hAnsi="方正黑体_GBK" w:eastAsia="方正黑体_GBK"/>
          <w:color w:val="3D3D3D"/>
          <w:kern w:val="0"/>
          <w:sz w:val="20"/>
          <w:szCs w:val="20"/>
          <w:highlight w:val="none"/>
        </w:rPr>
        <w:t>委托销售其发行理财产品的代理销售机构</w:t>
      </w:r>
      <w:r>
        <w:rPr>
          <w:rFonts w:hint="eastAsia" w:ascii="方正黑体_GBK" w:hAnsi="方正黑体_GBK" w:eastAsia="方正黑体_GBK"/>
          <w:color w:val="3D3D3D"/>
          <w:kern w:val="0"/>
          <w:sz w:val="20"/>
          <w:szCs w:val="20"/>
          <w:highlight w:val="none"/>
          <w:lang w:eastAsia="zh-CN"/>
        </w:rPr>
        <w:t>（</w:t>
      </w:r>
      <w:r>
        <w:rPr>
          <w:rFonts w:hint="eastAsia" w:ascii="方正黑体_GBK" w:hAnsi="方正黑体_GBK" w:eastAsia="方正黑体_GBK"/>
          <w:color w:val="3D3D3D"/>
          <w:kern w:val="0"/>
          <w:sz w:val="20"/>
          <w:szCs w:val="20"/>
          <w:highlight w:val="none"/>
          <w:lang w:val="en-US" w:eastAsia="zh-CN"/>
        </w:rPr>
        <w:t>代销机构</w:t>
      </w:r>
      <w:r>
        <w:rPr>
          <w:rFonts w:hint="eastAsia" w:ascii="方正黑体_GBK" w:hAnsi="方正黑体_GBK" w:eastAsia="方正黑体_GBK"/>
          <w:color w:val="3D3D3D"/>
          <w:kern w:val="0"/>
          <w:sz w:val="20"/>
          <w:szCs w:val="20"/>
          <w:highlight w:val="none"/>
          <w:lang w:eastAsia="zh-CN"/>
        </w:rPr>
        <w:t>）</w:t>
      </w:r>
      <w:r>
        <w:rPr>
          <w:rFonts w:hint="eastAsia" w:ascii="方正黑体_GBK" w:hAnsi="方正黑体_GBK" w:eastAsia="方正黑体_GBK"/>
          <w:color w:val="3D3D3D"/>
          <w:kern w:val="0"/>
          <w:sz w:val="20"/>
          <w:szCs w:val="20"/>
          <w:highlight w:val="none"/>
        </w:rPr>
        <w:t>。</w:t>
      </w:r>
    </w:p>
    <w:p w14:paraId="12D7AB21">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3.托管人：</w:t>
      </w:r>
      <w:r>
        <w:rPr>
          <w:rFonts w:hint="eastAsia" w:ascii="方正黑体_GBK" w:hAnsi="方正黑体_GBK" w:eastAsia="方正黑体_GBK"/>
          <w:color w:val="3D3D3D"/>
          <w:kern w:val="0"/>
          <w:sz w:val="20"/>
          <w:szCs w:val="20"/>
          <w:highlight w:val="none"/>
        </w:rPr>
        <w:t>指根据管理人委托，对理财产品财产进行托管的机构</w:t>
      </w:r>
      <w:r>
        <w:rPr>
          <w:rFonts w:ascii="方正黑体_GBK" w:hAnsi="方正黑体_GBK" w:eastAsia="方正黑体_GBK"/>
          <w:color w:val="3D3D3D"/>
          <w:kern w:val="0"/>
          <w:sz w:val="20"/>
          <w:szCs w:val="20"/>
          <w:highlight w:val="none"/>
        </w:rPr>
        <w:t>。</w:t>
      </w:r>
    </w:p>
    <w:p w14:paraId="5693257C">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4.认购</w:t>
      </w:r>
      <w:r>
        <w:rPr>
          <w:rFonts w:hint="eastAsia" w:ascii="方正黑体_GBK" w:hAnsi="方正黑体_GBK" w:eastAsia="方正黑体_GBK"/>
          <w:color w:val="3D3D3D"/>
          <w:kern w:val="0"/>
          <w:sz w:val="20"/>
          <w:szCs w:val="20"/>
          <w:highlight w:val="none"/>
        </w:rPr>
        <w:t>/申购</w:t>
      </w:r>
      <w:r>
        <w:rPr>
          <w:rFonts w:ascii="方正黑体_GBK" w:hAnsi="方正黑体_GBK" w:eastAsia="方正黑体_GBK"/>
          <w:color w:val="3D3D3D"/>
          <w:kern w:val="0"/>
          <w:sz w:val="20"/>
          <w:szCs w:val="20"/>
          <w:highlight w:val="none"/>
        </w:rPr>
        <w:t>人：指在募集期</w:t>
      </w:r>
      <w:r>
        <w:rPr>
          <w:rFonts w:hint="eastAsia" w:ascii="方正黑体_GBK" w:hAnsi="方正黑体_GBK" w:eastAsia="方正黑体_GBK"/>
          <w:color w:val="3D3D3D"/>
          <w:kern w:val="0"/>
          <w:sz w:val="20"/>
          <w:szCs w:val="20"/>
          <w:highlight w:val="none"/>
        </w:rPr>
        <w:t>/开放期</w:t>
      </w:r>
      <w:r>
        <w:rPr>
          <w:rFonts w:ascii="方正黑体_GBK" w:hAnsi="方正黑体_GBK" w:eastAsia="方正黑体_GBK"/>
          <w:color w:val="3D3D3D"/>
          <w:kern w:val="0"/>
          <w:sz w:val="20"/>
          <w:szCs w:val="20"/>
          <w:highlight w:val="none"/>
        </w:rPr>
        <w:t>期间签署本理财产品销售文件并向理财产品管理人交付认购</w:t>
      </w:r>
      <w:r>
        <w:rPr>
          <w:rFonts w:hint="eastAsia" w:ascii="方正黑体_GBK" w:hAnsi="方正黑体_GBK" w:eastAsia="方正黑体_GBK"/>
          <w:color w:val="3D3D3D"/>
          <w:kern w:val="0"/>
          <w:sz w:val="20"/>
          <w:szCs w:val="20"/>
          <w:highlight w:val="none"/>
        </w:rPr>
        <w:t>/申购</w:t>
      </w:r>
      <w:r>
        <w:rPr>
          <w:rFonts w:ascii="方正黑体_GBK" w:hAnsi="方正黑体_GBK" w:eastAsia="方正黑体_GBK"/>
          <w:color w:val="3D3D3D"/>
          <w:kern w:val="0"/>
          <w:sz w:val="20"/>
          <w:szCs w:val="20"/>
          <w:highlight w:val="none"/>
        </w:rPr>
        <w:t>资金的投资者。</w:t>
      </w:r>
    </w:p>
    <w:p w14:paraId="082D0854">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5.理财产品份额持有人/持有人：指其认购或申购申请，经过管理人确认认购或申购成功，从而持有理财产品份额的投资者。</w:t>
      </w:r>
    </w:p>
    <w:p w14:paraId="3239D040">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6.投资者：指购买南银理财发行的相关理财产品的符合相关法律法规及监管要求的个人或机构。</w:t>
      </w:r>
    </w:p>
    <w:p w14:paraId="3D6F9A53">
      <w:pPr>
        <w:pStyle w:val="44"/>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uppressAutoHyphens w:val="0"/>
        <w:spacing w:line="240" w:lineRule="auto"/>
        <w:ind w:left="0" w:firstLine="289"/>
        <w:outlineLvl w:val="1"/>
        <w:rPr>
          <w:rFonts w:ascii="方正黑体_GBK" w:hAnsi="方正黑体_GBK" w:eastAsia="方正黑体_GBK"/>
          <w:vanish w:val="0"/>
          <w:color w:val="3D3D3D"/>
          <w:kern w:val="0"/>
          <w:sz w:val="20"/>
          <w:szCs w:val="20"/>
        </w:rPr>
      </w:pPr>
      <w:r>
        <w:rPr>
          <w:rFonts w:hint="eastAsia" w:ascii="方正黑体_GBK" w:hAnsi="方正黑体_GBK" w:eastAsia="方正黑体_GBK"/>
          <w:vanish w:val="0"/>
          <w:color w:val="3D3D3D"/>
          <w:kern w:val="0"/>
          <w:sz w:val="20"/>
          <w:szCs w:val="20"/>
        </w:rPr>
        <w:t>法律文件用语</w:t>
      </w:r>
    </w:p>
    <w:p w14:paraId="2131FD38">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1.销售协议书：指本理财产品对应的《理财产品销售协议书》以及对该文件的有效修改或补充。</w:t>
      </w:r>
    </w:p>
    <w:p w14:paraId="38923877">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2.产品说明书/本理财产品说明书：指本《理财产品说明书》以及对</w:t>
      </w:r>
      <w:r>
        <w:rPr>
          <w:rFonts w:hint="eastAsia" w:ascii="方正黑体_GBK" w:hAnsi="方正黑体_GBK" w:eastAsia="方正黑体_GBK"/>
          <w:color w:val="3D3D3D"/>
          <w:kern w:val="0"/>
          <w:sz w:val="20"/>
          <w:szCs w:val="20"/>
          <w:highlight w:val="none"/>
          <w:lang w:eastAsia="zh-CN"/>
        </w:rPr>
        <w:t>该文件</w:t>
      </w:r>
      <w:r>
        <w:rPr>
          <w:rFonts w:ascii="方正黑体_GBK" w:hAnsi="方正黑体_GBK" w:eastAsia="方正黑体_GBK"/>
          <w:color w:val="3D3D3D"/>
          <w:kern w:val="0"/>
          <w:sz w:val="20"/>
          <w:szCs w:val="20"/>
          <w:highlight w:val="none"/>
        </w:rPr>
        <w:t>的有效修改或补充。</w:t>
      </w:r>
    </w:p>
    <w:p w14:paraId="17D63D76">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3.风险揭示书：指本理财产品对应的《理财产品风险揭示书》以及对该文件的有效修改或补充。</w:t>
      </w:r>
    </w:p>
    <w:p w14:paraId="358A71D2">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4.投资者权益须知：指本理财产品对应的《投资者权益须知》以及对该文件的有效修改或补充。</w:t>
      </w:r>
    </w:p>
    <w:p w14:paraId="30FFBF10">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5.投资协议书</w:t>
      </w:r>
      <w:r>
        <w:rPr>
          <w:rFonts w:hint="eastAsia" w:ascii="方正黑体_GBK" w:hAnsi="方正黑体_GBK" w:eastAsia="方正黑体_GBK"/>
          <w:color w:val="3D3D3D"/>
          <w:kern w:val="0"/>
          <w:sz w:val="20"/>
          <w:szCs w:val="20"/>
          <w:highlight w:val="none"/>
        </w:rPr>
        <w:t>：</w:t>
      </w:r>
      <w:r>
        <w:rPr>
          <w:rFonts w:ascii="方正黑体_GBK" w:hAnsi="方正黑体_GBK" w:eastAsia="方正黑体_GBK"/>
          <w:color w:val="3D3D3D"/>
          <w:kern w:val="0"/>
          <w:sz w:val="20"/>
          <w:szCs w:val="20"/>
          <w:highlight w:val="none"/>
        </w:rPr>
        <w:t>指本理财产品对应的《理财产品投资协议书》以及对该文件的有效修改或补充。</w:t>
      </w:r>
    </w:p>
    <w:p w14:paraId="27B35DDD">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6.销售文件：指本理财产品对应的产品说明书、风险揭示书、投资者权益须知</w:t>
      </w:r>
      <w:r>
        <w:rPr>
          <w:rFonts w:hint="eastAsia" w:ascii="方正黑体_GBK" w:hAnsi="方正黑体_GBK" w:eastAsia="方正黑体_GBK"/>
          <w:color w:val="3D3D3D"/>
          <w:kern w:val="0"/>
          <w:sz w:val="20"/>
          <w:szCs w:val="20"/>
          <w:highlight w:val="none"/>
        </w:rPr>
        <w:t>、</w:t>
      </w:r>
      <w:r>
        <w:rPr>
          <w:rFonts w:ascii="方正黑体_GBK" w:hAnsi="方正黑体_GBK" w:eastAsia="方正黑体_GBK"/>
          <w:color w:val="3D3D3D"/>
          <w:kern w:val="0"/>
          <w:sz w:val="20"/>
          <w:szCs w:val="20"/>
          <w:highlight w:val="none"/>
        </w:rPr>
        <w:t>销售协议书</w:t>
      </w:r>
      <w:r>
        <w:rPr>
          <w:rFonts w:hint="eastAsia" w:ascii="方正黑体_GBK" w:hAnsi="方正黑体_GBK" w:eastAsia="方正黑体_GBK"/>
          <w:color w:val="3D3D3D"/>
          <w:kern w:val="0"/>
          <w:sz w:val="20"/>
          <w:szCs w:val="20"/>
          <w:highlight w:val="none"/>
        </w:rPr>
        <w:t>、</w:t>
      </w:r>
      <w:r>
        <w:rPr>
          <w:rFonts w:ascii="方正黑体_GBK" w:hAnsi="方正黑体_GBK" w:eastAsia="方正黑体_GBK"/>
          <w:color w:val="3D3D3D"/>
          <w:kern w:val="0"/>
          <w:sz w:val="20"/>
          <w:szCs w:val="20"/>
          <w:highlight w:val="none"/>
        </w:rPr>
        <w:t>投资协议书等。</w:t>
      </w:r>
      <w:r>
        <w:rPr>
          <w:rFonts w:ascii="方正黑体_GBK" w:hAnsi="方正黑体_GBK" w:eastAsia="方正黑体_GBK"/>
          <w:bCs/>
          <w:color w:val="3D3D3D"/>
          <w:kern w:val="0"/>
          <w:sz w:val="20"/>
          <w:szCs w:val="20"/>
          <w:highlight w:val="none"/>
        </w:rPr>
        <w:t>上述文件共同构成本理财产品完整且不可分割的销售文件。</w:t>
      </w:r>
    </w:p>
    <w:p w14:paraId="769E547F">
      <w:pPr>
        <w:pStyle w:val="44"/>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uppressAutoHyphens w:val="0"/>
        <w:spacing w:line="240" w:lineRule="auto"/>
        <w:ind w:left="0" w:firstLine="289"/>
        <w:outlineLvl w:val="1"/>
        <w:rPr>
          <w:rFonts w:ascii="方正黑体_GBK" w:hAnsi="方正黑体_GBK" w:eastAsia="方正黑体_GBK"/>
          <w:vanish w:val="0"/>
          <w:color w:val="3D3D3D"/>
          <w:kern w:val="0"/>
          <w:sz w:val="20"/>
          <w:szCs w:val="20"/>
        </w:rPr>
      </w:pPr>
      <w:r>
        <w:rPr>
          <w:rFonts w:hint="eastAsia" w:ascii="方正黑体_GBK" w:hAnsi="方正黑体_GBK" w:eastAsia="方正黑体_GBK"/>
          <w:vanish w:val="0"/>
          <w:color w:val="3D3D3D"/>
          <w:kern w:val="0"/>
          <w:sz w:val="20"/>
          <w:szCs w:val="20"/>
        </w:rPr>
        <w:t>期间与日期</w:t>
      </w:r>
    </w:p>
    <w:p w14:paraId="00B7959C">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1.募集期：指管理人确定的接受投资者认购本理财产品的起止期限。</w:t>
      </w:r>
    </w:p>
    <w:p w14:paraId="33958AB4">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2.开放期：指管理人确定的除募集期外接受投资者申购、赎回本理财产品的起止期限。</w:t>
      </w:r>
    </w:p>
    <w:p w14:paraId="6A8B860B">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3.提前终止权行使日：指管理人行使提前终止权的日期，即本理财产品被提前终止、开始停止计算收益的日期。</w:t>
      </w:r>
    </w:p>
    <w:p w14:paraId="7024CBCC">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4.延期终止日：指管理人根据本理财产品说明书约定延长理财产品存续期后本理财产品的终止日，即本理财产品被延期终止、开始停止计算收益的日期。</w:t>
      </w:r>
    </w:p>
    <w:p w14:paraId="1BA42C68">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5.认购、申购、赎回确认日：指投资者认购、申购、赎回理财产品最终确认日期。</w:t>
      </w:r>
    </w:p>
    <w:p w14:paraId="3BEC1A8B">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6.认购、申购冷静期（私募产品适用）：指根据法律法规的规定，理财产品管理人对私募理财产品投资者设定的自签署理财产品销售文件或提交认购、申购申请起的至少二十四小时的期间，在此期间内投资者有权解除理财产品销售文件或撤销认购、申购申请。</w:t>
      </w:r>
    </w:p>
    <w:p w14:paraId="776A6C89">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7.产品存续期：指理财产品成立至终止的期间。</w:t>
      </w:r>
    </w:p>
    <w:p w14:paraId="645E905B">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8.名义到期日：指在管理人未对本理财产品提前终止或延期终止的情况下本理财产品的到期日期。</w:t>
      </w:r>
    </w:p>
    <w:p w14:paraId="225FBB78">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9.到期日/终止日：指管理人实际开始停止计算本理财产品收益的日期。若本理财产品未提前终止或延期终止，则到期日/终止日即为名义到期日；若本理财产品被提前终止，则到期日/终止日为提前终止权行使日；若本理财产品被延期终止，则到期日/终止日为延期终止日。</w:t>
      </w:r>
    </w:p>
    <w:p w14:paraId="7E1A014A">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10.工作日：指除国家法定节假日和休息日（包括周六、周日）外的日期。</w:t>
      </w:r>
    </w:p>
    <w:p w14:paraId="7CB446D4">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11.交易日：指上海证券交易所和深圳证券交易所的正常开盘交易日。</w:t>
      </w:r>
    </w:p>
    <w:p w14:paraId="029F86F0">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12.支付日：指根据本理财产品说明书约定向销售文件约定的投资者授权指定账户划付理财产品资金之日。</w:t>
      </w:r>
    </w:p>
    <w:p w14:paraId="39C20207">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13.赎回或到期清算分配资金到账日：指赎回或到期清算分配资金划入销售文件约定的投资者授权指定账户之日。</w:t>
      </w:r>
    </w:p>
    <w:p w14:paraId="53F33F85">
      <w:pPr>
        <w:pStyle w:val="44"/>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uppressAutoHyphens w:val="0"/>
        <w:spacing w:line="240" w:lineRule="auto"/>
        <w:ind w:left="0" w:firstLine="289"/>
        <w:outlineLvl w:val="1"/>
        <w:rPr>
          <w:rFonts w:ascii="方正黑体_GBK" w:hAnsi="方正黑体_GBK" w:eastAsia="方正黑体_GBK"/>
          <w:vanish w:val="0"/>
          <w:color w:val="3D3D3D"/>
          <w:kern w:val="0"/>
          <w:sz w:val="20"/>
          <w:szCs w:val="20"/>
        </w:rPr>
      </w:pPr>
      <w:r>
        <w:rPr>
          <w:rFonts w:hint="eastAsia" w:ascii="方正黑体_GBK" w:hAnsi="方正黑体_GBK" w:eastAsia="方正黑体_GBK"/>
          <w:vanish w:val="0"/>
          <w:color w:val="3D3D3D"/>
          <w:kern w:val="0"/>
          <w:sz w:val="20"/>
          <w:szCs w:val="20"/>
        </w:rPr>
        <w:t>理财产品用语</w:t>
      </w:r>
    </w:p>
    <w:p w14:paraId="2FEECEDA">
      <w:pPr>
        <w:pStyle w:val="44"/>
        <w:keepNext w:val="0"/>
        <w:keepLines w:val="0"/>
        <w:pageBreakBefore w:val="0"/>
        <w:widowControl/>
        <w:suppressLineNumbers w:val="0"/>
        <w:tabs>
          <w:tab w:val="left" w:pos="567"/>
        </w:tabs>
        <w:suppressAutoHyphens w:val="0"/>
        <w:spacing w:line="240" w:lineRule="auto"/>
        <w:ind w:left="289" w:firstLine="0"/>
        <w:rPr>
          <w:rFonts w:ascii="方正黑体_GBK" w:hAnsi="方正黑体_GBK" w:eastAsia="方正黑体_GBK"/>
          <w:vanish w:val="0"/>
          <w:color w:val="3D3D3D"/>
          <w:kern w:val="0"/>
          <w:sz w:val="20"/>
          <w:szCs w:val="20"/>
        </w:rPr>
      </w:pPr>
      <w:r>
        <w:rPr>
          <w:rFonts w:ascii="方正黑体_GBK" w:hAnsi="方正黑体_GBK" w:eastAsia="方正黑体_GBK"/>
          <w:color w:val="3D3D3D"/>
          <w:kern w:val="0"/>
          <w:sz w:val="20"/>
          <w:szCs w:val="20"/>
          <w:highlight w:val="none"/>
        </w:rPr>
        <w:t xml:space="preserve"> 1.本理财产品/理财产品：</w:t>
      </w:r>
      <w:r>
        <w:rPr>
          <w:rFonts w:hint="eastAsia" w:ascii="方正黑体_GBK" w:hAnsi="方正黑体_GBK" w:eastAsia="方正黑体_GBK" w:cs="Times New Roman"/>
          <w:vanish w:val="0"/>
          <w:color w:val="3D3D3D"/>
          <w:kern w:val="0"/>
          <w:sz w:val="20"/>
          <w:szCs w:val="20"/>
        </w:rPr>
        <w:t xml:space="preserve"> </w:t>
      </w:r>
      <w:r>
        <w:rPr>
          <w:rFonts w:ascii="方正黑体_GBK" w:hAnsi="方正黑体_GBK" w:eastAsia="方正黑体_GBK"/>
          <w:b/>
          <w:bCs/>
          <w:caps w:val="0"/>
          <w:smallCaps w:val="0"/>
          <w:snapToGrid/>
          <w:vanish w:val="0"/>
          <w:color w:val="3D3D3D"/>
          <w:kern w:val="0"/>
          <w:sz w:val="20"/>
          <w:szCs w:val="20"/>
          <w:vertAlign w:val="baseline"/>
          <w:lang w:val="en-US" w:eastAsia="zh-CN"/>
        </w:rPr>
        <w:t>南银理财珠联璧合鑫逸稳三个月147期封闭式公募人民币理财产品</w:t>
      </w:r>
      <w:r>
        <w:rPr>
          <w:rFonts w:hint="eastAsia" w:ascii="方正黑体_GBK" w:hAnsi="方正黑体_GBK" w:eastAsia="方正黑体_GBK"/>
          <w:vanish w:val="0"/>
          <w:color w:val="3D3D3D"/>
          <w:kern w:val="0"/>
          <w:sz w:val="20"/>
          <w:szCs w:val="20"/>
        </w:rPr>
        <w:t>。</w:t>
      </w:r>
    </w:p>
    <w:p w14:paraId="40A2D191">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2.认购金额/申购金额/投资本金：指投资者认购或申购本理财产品的本金金额。为避免疑义，认购金额/申购金额/投资本金的称谓仅为方便计算理财产品投资收益而创设的，并非对投资者投资本金不受损失的承诺。</w:t>
      </w:r>
    </w:p>
    <w:p w14:paraId="7E8DFF27">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3.投资收益：指投资者投资理财产品份额获得的投资收益，该收益为其获得分配的全部理财产品赎回资金或到期清算分配资金中扣除投资本金的部分。</w:t>
      </w:r>
    </w:p>
    <w:p w14:paraId="5062E8FD">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4.理财产品份额/产品份额：指投资者持有本理财产品的单位数额。投资者基于其所持有的理财产品单位数额享有理财产品利益、承担理财产品风险。</w:t>
      </w:r>
    </w:p>
    <w:p w14:paraId="7FD541B6">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5.产品资产净值=产品资产总值-产品负债总值。产品资产总值是指理财产品拥有的各类有价证券、银行存款、应收款项及其他资产的价值总和。产品负债总值是指理财产品运作及融资时形成的负债价值总和，包括融资资金本息、应付各项费用（包括托管费、销售手续费、固定管理费、业绩报酬、其他费用等）、应付税金及其他应付款项等。</w:t>
      </w:r>
    </w:p>
    <w:p w14:paraId="6549878E">
      <w:pPr>
        <w:pStyle w:val="44"/>
        <w:keepNext w:val="0"/>
        <w:keepLines w:val="0"/>
        <w:pageBreakBefore w:val="0"/>
        <w:widowControl/>
        <w:suppressLineNumbers w:val="0"/>
        <w:tabs>
          <w:tab w:val="left" w:pos="567"/>
        </w:tabs>
        <w:suppressAutoHyphens w:val="0"/>
        <w:spacing w:line="240" w:lineRule="auto"/>
        <w:ind w:left="289" w:firstLine="0"/>
        <w:outlineLvl w:val="1"/>
        <w:rPr>
          <w:sz w:val="28"/>
          <w:szCs w:val="28"/>
        </w:rPr>
      </w:pPr>
      <w:r>
        <w:rPr>
          <w:rFonts w:ascii="方正黑体_GBK" w:hAnsi="方正黑体_GBK" w:eastAsia="方正黑体_GBK"/>
          <w:color w:val="3D3D3D"/>
          <w:kern w:val="0"/>
          <w:sz w:val="20"/>
          <w:szCs w:val="20"/>
          <w:highlight w:val="none"/>
        </w:rPr>
        <w:t xml:space="preserve"> 6.单位净值/产品每份额净值：指理财产品每单位份额的净值，即每1份理财产品份额以人民币计价的价格。</w:t>
      </w:r>
      <w:r>
        <w:rPr>
          <w:rFonts w:ascii="方正黑体_GBK" w:hAnsi="方正黑体_GBK" w:eastAsia="方正黑体_GBK"/>
          <w:bCs/>
          <w:color w:val="3D3D3D"/>
          <w:kern w:val="0"/>
          <w:sz w:val="20"/>
          <w:szCs w:val="20"/>
          <w:highlight w:val="none"/>
        </w:rPr>
        <w:t>产品份额净值=产品资产净值/产品总份额。投资者按该份额净值进行理财产品认购、申购和赎回、获得到期/终止时分配。</w:t>
      </w:r>
      <w:r>
        <w:rPr>
          <w:rFonts w:ascii="方正黑体_GBK" w:hAnsi="方正黑体_GBK" w:eastAsia="方正黑体_GBK"/>
          <w:color w:val="3D3D3D"/>
          <w:kern w:val="0"/>
          <w:sz w:val="20"/>
          <w:szCs w:val="20"/>
        </w:rPr>
        <w:t>产品份额净值按去尾法保留4位小数。</w:t>
      </w:r>
    </w:p>
    <w:p w14:paraId="0C050FCE">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7.理财产品估值/估值：指计算评估理财产品资产以确定理财产品份额单位净值的过程。</w:t>
      </w:r>
    </w:p>
    <w:p w14:paraId="1FDFF382">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8.业绩比较基准：指管理人基于</w:t>
      </w:r>
      <w:r>
        <w:rPr>
          <w:rFonts w:hint="eastAsia" w:ascii="方正黑体_GBK" w:hAnsi="方正黑体_GBK" w:eastAsia="方正黑体_GBK"/>
          <w:color w:val="3D3D3D"/>
          <w:kern w:val="0"/>
          <w:sz w:val="20"/>
          <w:szCs w:val="20"/>
          <w:highlight w:val="none"/>
          <w:lang w:val="en-US" w:eastAsia="zh-CN"/>
        </w:rPr>
        <w:t>产品性质、投资策略、</w:t>
      </w:r>
      <w:r>
        <w:rPr>
          <w:rFonts w:ascii="方正黑体_GBK" w:hAnsi="方正黑体_GBK" w:eastAsia="方正黑体_GBK"/>
          <w:color w:val="3D3D3D"/>
          <w:kern w:val="0"/>
          <w:sz w:val="20"/>
          <w:szCs w:val="20"/>
          <w:highlight w:val="none"/>
        </w:rPr>
        <w:t>过往投资经验及对产品存续期投资市场波动的预判而对本理财产品所设定的投资目标，业绩比较基准不代表本理财产品的未来表现和实际收益，</w:t>
      </w:r>
      <w:r>
        <w:rPr>
          <w:rFonts w:hint="eastAsia" w:ascii="方正黑体_GBK" w:hAnsi="方正黑体_GBK" w:eastAsia="方正黑体_GBK"/>
          <w:color w:val="3D3D3D"/>
          <w:kern w:val="0"/>
          <w:sz w:val="20"/>
          <w:szCs w:val="20"/>
          <w:highlight w:val="none"/>
          <w:lang w:val="en-US" w:eastAsia="zh-CN"/>
        </w:rPr>
        <w:t>不构成</w:t>
      </w:r>
      <w:r>
        <w:rPr>
          <w:rFonts w:ascii="方正黑体_GBK" w:hAnsi="方正黑体_GBK" w:eastAsia="方正黑体_GBK"/>
          <w:color w:val="3D3D3D"/>
          <w:kern w:val="0"/>
          <w:sz w:val="20"/>
          <w:szCs w:val="20"/>
          <w:highlight w:val="none"/>
        </w:rPr>
        <w:t>管理人对本理财产品收益</w:t>
      </w:r>
      <w:r>
        <w:rPr>
          <w:rFonts w:hint="eastAsia" w:ascii="方正黑体_GBK" w:hAnsi="方正黑体_GBK" w:eastAsia="方正黑体_GBK"/>
          <w:color w:val="3D3D3D"/>
          <w:kern w:val="0"/>
          <w:sz w:val="20"/>
          <w:szCs w:val="20"/>
          <w:highlight w:val="none"/>
          <w:lang w:val="en-US" w:eastAsia="zh-CN"/>
        </w:rPr>
        <w:t>的</w:t>
      </w:r>
      <w:r>
        <w:rPr>
          <w:rFonts w:ascii="方正黑体_GBK" w:hAnsi="方正黑体_GBK" w:eastAsia="方正黑体_GBK"/>
          <w:color w:val="3D3D3D"/>
          <w:kern w:val="0"/>
          <w:sz w:val="20"/>
          <w:szCs w:val="20"/>
          <w:highlight w:val="none"/>
        </w:rPr>
        <w:t>承诺。</w:t>
      </w:r>
    </w:p>
    <w:p w14:paraId="6712F3BA">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highlight w:val="none"/>
        </w:rPr>
      </w:pPr>
      <w:r>
        <w:rPr>
          <w:rFonts w:ascii="方正黑体_GBK" w:hAnsi="方正黑体_GBK" w:eastAsia="方正黑体_GBK"/>
          <w:color w:val="3D3D3D"/>
          <w:kern w:val="0"/>
          <w:sz w:val="20"/>
          <w:szCs w:val="20"/>
          <w:highlight w:val="none"/>
        </w:rPr>
        <w:t xml:space="preserve"> 9.认购：指投资者根据产品说明书约定在募集期内申请购买本理财产品的理财产品份额的行为。</w:t>
      </w:r>
    </w:p>
    <w:p w14:paraId="4AE6C84C">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10.申购、赎回申请：指在理财产品的开放期内，投资者向理财产品管理人提出申请对理财产品份额进行购买或卖出的行为。</w:t>
      </w:r>
    </w:p>
    <w:p w14:paraId="16B751B7">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11.提前终止/延期终止权：指在本理财产品存续期内，管理人单方面根据本理财产品销售文件的约定提前终止/延期终止本理财产品的权利。</w:t>
      </w:r>
    </w:p>
    <w:p w14:paraId="4720842A">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12.授权指定账户：指投资者用于支付理财产品的认购或申购资金，并用于接收理财产品分红或赎回或到期清算分配款项的银行账户。</w:t>
      </w:r>
    </w:p>
    <w:p w14:paraId="1C274D06">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13.固定收益类理财产品：指投资于存款、债券等债权类资产的比例不低于80%的理财产品。</w:t>
      </w:r>
    </w:p>
    <w:p w14:paraId="5EBA56E3">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14.权益类理财产品：指投资于权益类资产的比例不低于80%的理财产品。</w:t>
      </w:r>
    </w:p>
    <w:p w14:paraId="1705DB5A">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15.商品及金融衍生品类理财产品：指投资于商品及金融衍生品的比例不低于80%的理财产品。</w:t>
      </w:r>
    </w:p>
    <w:p w14:paraId="6FC57A14">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16.混合类理财产品：指投资于债权类资产、权益类资产、商品及金融衍生品类资产且任一资产的投资比例</w:t>
      </w:r>
      <w:r>
        <w:rPr>
          <w:rFonts w:hint="eastAsia" w:ascii="方正黑体_GBK" w:hAnsi="方正黑体_GBK" w:eastAsia="方正黑体_GBK"/>
          <w:color w:val="3D3D3D"/>
          <w:kern w:val="0"/>
          <w:sz w:val="20"/>
          <w:szCs w:val="20"/>
        </w:rPr>
        <w:t>均</w:t>
      </w:r>
      <w:r>
        <w:rPr>
          <w:rFonts w:ascii="方正黑体_GBK" w:hAnsi="方正黑体_GBK" w:eastAsia="方正黑体_GBK"/>
          <w:color w:val="3D3D3D"/>
          <w:kern w:val="0"/>
          <w:sz w:val="20"/>
          <w:szCs w:val="20"/>
        </w:rPr>
        <w:t>未达到80%的理财产品。</w:t>
      </w:r>
    </w:p>
    <w:p w14:paraId="341C7746">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17.公募理财产品：指面向不特定社会公众公开发行的理财产品。</w:t>
      </w:r>
    </w:p>
    <w:p w14:paraId="532364FE">
      <w:pPr>
        <w:pStyle w:val="44"/>
        <w:keepNext w:val="0"/>
        <w:keepLines w:val="0"/>
        <w:pageBreakBefore w:val="0"/>
        <w:widowControl/>
        <w:suppressLineNumbers w:val="0"/>
        <w:tabs>
          <w:tab w:val="left" w:pos="567"/>
        </w:tabs>
        <w:suppressAutoHyphens w:val="0"/>
        <w:spacing w:line="240" w:lineRule="auto"/>
        <w:ind w:left="289" w:firstLine="0"/>
        <w:outlineLvl w:val="1"/>
        <w:rPr>
          <w:color w:val="3D3D3D"/>
          <w:kern w:val="0"/>
          <w:sz w:val="20"/>
          <w:szCs w:val="20"/>
        </w:rPr>
      </w:pPr>
      <w:r>
        <w:rPr>
          <w:rFonts w:ascii="方正黑体_GBK" w:hAnsi="方正黑体_GBK" w:eastAsia="方正黑体_GBK"/>
          <w:color w:val="3D3D3D"/>
          <w:kern w:val="0"/>
          <w:sz w:val="20"/>
          <w:szCs w:val="20"/>
        </w:rPr>
        <w:t xml:space="preserve"> 18.私募理财产品：指面向合格投资者非公开发行的理财产品。</w:t>
      </w:r>
    </w:p>
    <w:p w14:paraId="2B01D836">
      <w:pPr>
        <w:pStyle w:val="44"/>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uppressAutoHyphens w:val="0"/>
        <w:spacing w:line="240" w:lineRule="auto"/>
        <w:ind w:left="0" w:firstLine="289"/>
        <w:outlineLvl w:val="1"/>
        <w:rPr>
          <w:rFonts w:ascii="方正黑体_GBK" w:hAnsi="方正黑体_GBK" w:eastAsia="方正黑体_GBK"/>
          <w:vanish w:val="0"/>
          <w:color w:val="3D3D3D"/>
          <w:kern w:val="0"/>
          <w:sz w:val="20"/>
          <w:szCs w:val="20"/>
        </w:rPr>
      </w:pPr>
      <w:r>
        <w:rPr>
          <w:rFonts w:hint="eastAsia" w:ascii="方正黑体_GBK" w:hAnsi="方正黑体_GBK" w:eastAsia="方正黑体_GBK"/>
          <w:vanish w:val="0"/>
          <w:color w:val="3D3D3D"/>
          <w:kern w:val="0"/>
          <w:sz w:val="20"/>
          <w:szCs w:val="20"/>
        </w:rPr>
        <w:t>其他</w:t>
      </w:r>
    </w:p>
    <w:p w14:paraId="3D81DED0">
      <w:pPr>
        <w:pStyle w:val="44"/>
        <w:keepNext w:val="0"/>
        <w:keepLines w:val="0"/>
        <w:pageBreakBefore w:val="0"/>
        <w:widowControl/>
        <w:suppressLineNumbers w:val="0"/>
        <w:tabs>
          <w:tab w:val="left" w:pos="567"/>
        </w:tabs>
        <w:suppressAutoHyphens w:val="0"/>
        <w:spacing w:line="240" w:lineRule="auto"/>
        <w:ind w:left="289" w:firstLine="0"/>
        <w:rPr>
          <w:color w:val="3D3D3D"/>
          <w:kern w:val="0"/>
          <w:sz w:val="20"/>
          <w:szCs w:val="20"/>
          <w:highlight w:val="none"/>
        </w:rPr>
      </w:pPr>
      <w:r>
        <w:rPr>
          <w:rFonts w:ascii="方正黑体_GBK" w:hAnsi="方正黑体_GBK" w:eastAsia="方正黑体_GBK"/>
          <w:color w:val="3D3D3D"/>
          <w:kern w:val="0"/>
          <w:sz w:val="20"/>
          <w:szCs w:val="20"/>
          <w:highlight w:val="none"/>
        </w:rPr>
        <w:t xml:space="preserve"> 1.不可抗力：指理财产品各方不能预见、不能避免且不能克服的客观情况，该事件妨碍、影响或延误任何一方依相关理财产品销售文件的约定履行其全部或部分义务。该事件包括但不限于：</w:t>
      </w:r>
    </w:p>
    <w:p w14:paraId="02D8F038">
      <w:pPr>
        <w:pStyle w:val="57"/>
        <w:keepNext w:val="0"/>
        <w:keepLines w:val="0"/>
        <w:pageBreakBefore w:val="0"/>
        <w:widowControl/>
        <w:numPr>
          <w:ilvl w:val="0"/>
          <w:numId w:val="2"/>
        </w:numPr>
        <w:suppressLineNumbers w:val="0"/>
        <w:tabs>
          <w:tab w:val="left" w:pos="567"/>
        </w:tabs>
        <w:suppressAutoHyphens w:val="0"/>
        <w:spacing w:line="240" w:lineRule="auto"/>
        <w:ind w:firstLineChars="0"/>
        <w:rPr>
          <w:color w:val="3D3D3D"/>
          <w:kern w:val="0"/>
          <w:sz w:val="20"/>
          <w:szCs w:val="20"/>
          <w:highlight w:val="none"/>
        </w:rPr>
      </w:pPr>
      <w:r>
        <w:rPr>
          <w:rFonts w:ascii="方正黑体_GBK" w:hAnsi="方正黑体_GBK" w:eastAsia="方正黑体_GBK"/>
          <w:color w:val="3D3D3D"/>
          <w:kern w:val="0"/>
          <w:sz w:val="20"/>
          <w:szCs w:val="20"/>
          <w:highlight w:val="none"/>
        </w:rPr>
        <w:t>自然灾害、地震、台风、海啸、洪水、火灾、停电、突发性公共卫生事件；</w:t>
      </w:r>
    </w:p>
    <w:p w14:paraId="7A64CBC7">
      <w:pPr>
        <w:pStyle w:val="57"/>
        <w:keepNext w:val="0"/>
        <w:keepLines w:val="0"/>
        <w:pageBreakBefore w:val="0"/>
        <w:widowControl/>
        <w:numPr>
          <w:ilvl w:val="0"/>
          <w:numId w:val="2"/>
        </w:numPr>
        <w:suppressLineNumbers w:val="0"/>
        <w:tabs>
          <w:tab w:val="left" w:pos="567"/>
        </w:tabs>
        <w:suppressAutoHyphens w:val="0"/>
        <w:spacing w:line="240" w:lineRule="auto"/>
        <w:ind w:firstLineChars="0"/>
        <w:rPr>
          <w:color w:val="3D3D3D"/>
          <w:kern w:val="0"/>
          <w:sz w:val="20"/>
          <w:szCs w:val="20"/>
          <w:highlight w:val="none"/>
        </w:rPr>
      </w:pPr>
      <w:r>
        <w:rPr>
          <w:rFonts w:ascii="方正黑体_GBK" w:hAnsi="方正黑体_GBK" w:eastAsia="方正黑体_GBK"/>
          <w:color w:val="3D3D3D"/>
          <w:kern w:val="0"/>
          <w:sz w:val="20"/>
          <w:szCs w:val="20"/>
          <w:highlight w:val="none"/>
        </w:rPr>
        <w:t>罢工、内战、战争、军事行动、任何种类的恐怖活动、暴动、公众示威或抗议；</w:t>
      </w:r>
    </w:p>
    <w:p w14:paraId="112F9203">
      <w:pPr>
        <w:pStyle w:val="57"/>
        <w:keepNext w:val="0"/>
        <w:keepLines w:val="0"/>
        <w:pageBreakBefore w:val="0"/>
        <w:widowControl/>
        <w:numPr>
          <w:ilvl w:val="0"/>
          <w:numId w:val="2"/>
        </w:numPr>
        <w:suppressLineNumbers w:val="0"/>
        <w:tabs>
          <w:tab w:val="left" w:pos="567"/>
        </w:tabs>
        <w:suppressAutoHyphens w:val="0"/>
        <w:spacing w:line="240" w:lineRule="auto"/>
        <w:ind w:firstLineChars="0"/>
        <w:rPr>
          <w:color w:val="3D3D3D"/>
          <w:kern w:val="0"/>
          <w:sz w:val="20"/>
          <w:szCs w:val="20"/>
          <w:highlight w:val="none"/>
        </w:rPr>
      </w:pPr>
      <w:r>
        <w:rPr>
          <w:rFonts w:ascii="方正黑体_GBK" w:hAnsi="方正黑体_GBK" w:eastAsia="方正黑体_GBK"/>
          <w:color w:val="3D3D3D"/>
          <w:kern w:val="0"/>
          <w:sz w:val="20"/>
          <w:szCs w:val="20"/>
          <w:highlight w:val="none"/>
        </w:rPr>
        <w:t>新的适用法律或国家政策的颁布或实施、对原适用法律或国家政策的修改；</w:t>
      </w:r>
    </w:p>
    <w:p w14:paraId="021EF9B2">
      <w:pPr>
        <w:pStyle w:val="57"/>
        <w:keepNext w:val="0"/>
        <w:keepLines w:val="0"/>
        <w:pageBreakBefore w:val="0"/>
        <w:widowControl/>
        <w:numPr>
          <w:ilvl w:val="0"/>
          <w:numId w:val="2"/>
        </w:numPr>
        <w:suppressLineNumbers w:val="0"/>
        <w:tabs>
          <w:tab w:val="left" w:pos="567"/>
        </w:tabs>
        <w:suppressAutoHyphens w:val="0"/>
        <w:spacing w:line="240" w:lineRule="auto"/>
        <w:ind w:firstLineChars="0"/>
        <w:rPr>
          <w:color w:val="3D3D3D"/>
          <w:kern w:val="0"/>
          <w:sz w:val="20"/>
          <w:szCs w:val="20"/>
          <w:highlight w:val="none"/>
        </w:rPr>
      </w:pPr>
      <w:r>
        <w:rPr>
          <w:rFonts w:ascii="方正黑体_GBK" w:hAnsi="方正黑体_GBK" w:eastAsia="方正黑体_GBK"/>
          <w:color w:val="3D3D3D"/>
          <w:kern w:val="0"/>
          <w:sz w:val="20"/>
          <w:szCs w:val="20"/>
          <w:highlight w:val="none"/>
        </w:rPr>
        <w:t>任何政府机关或其他机关的行为</w:t>
      </w:r>
      <w:r>
        <w:rPr>
          <w:rFonts w:hint="eastAsia" w:ascii="方正黑体_GBK" w:hAnsi="方正黑体_GBK" w:eastAsia="方正黑体_GBK"/>
          <w:color w:val="3D3D3D"/>
          <w:kern w:val="0"/>
          <w:sz w:val="20"/>
          <w:szCs w:val="20"/>
          <w:highlight w:val="none"/>
        </w:rPr>
        <w:t>（</w:t>
      </w:r>
      <w:r>
        <w:rPr>
          <w:rFonts w:ascii="方正黑体_GBK" w:hAnsi="方正黑体_GBK" w:eastAsia="方正黑体_GBK"/>
          <w:color w:val="3D3D3D"/>
          <w:kern w:val="0"/>
          <w:sz w:val="20"/>
          <w:szCs w:val="20"/>
          <w:highlight w:val="none"/>
        </w:rPr>
        <w:t>不论是在法律上或是在事实上</w:t>
      </w:r>
      <w:r>
        <w:rPr>
          <w:rFonts w:hint="eastAsia" w:ascii="方正黑体_GBK" w:hAnsi="方正黑体_GBK" w:eastAsia="方正黑体_GBK"/>
          <w:color w:val="3D3D3D"/>
          <w:kern w:val="0"/>
          <w:sz w:val="20"/>
          <w:szCs w:val="20"/>
          <w:highlight w:val="none"/>
        </w:rPr>
        <w:t>）</w:t>
      </w:r>
      <w:r>
        <w:rPr>
          <w:rFonts w:ascii="方正黑体_GBK" w:hAnsi="方正黑体_GBK" w:eastAsia="方正黑体_GBK"/>
          <w:color w:val="3D3D3D"/>
          <w:kern w:val="0"/>
          <w:sz w:val="20"/>
          <w:szCs w:val="20"/>
          <w:highlight w:val="none"/>
        </w:rPr>
        <w:t>、法律、法规、条例、规则、规定、裁决、命令或指令（包括国有化或对外限制、外汇管制）、诉讼或威胁；</w:t>
      </w:r>
    </w:p>
    <w:p w14:paraId="26087FBB">
      <w:pPr>
        <w:pStyle w:val="57"/>
        <w:keepNext w:val="0"/>
        <w:keepLines w:val="0"/>
        <w:pageBreakBefore w:val="0"/>
        <w:widowControl/>
        <w:numPr>
          <w:ilvl w:val="0"/>
          <w:numId w:val="2"/>
        </w:numPr>
        <w:suppressLineNumbers w:val="0"/>
        <w:tabs>
          <w:tab w:val="left" w:pos="567"/>
        </w:tabs>
        <w:suppressAutoHyphens w:val="0"/>
        <w:spacing w:line="240" w:lineRule="auto"/>
        <w:ind w:firstLineChars="0"/>
        <w:rPr>
          <w:color w:val="3D3D3D"/>
          <w:kern w:val="0"/>
          <w:sz w:val="20"/>
          <w:szCs w:val="20"/>
          <w:highlight w:val="none"/>
        </w:rPr>
      </w:pPr>
      <w:r>
        <w:rPr>
          <w:rFonts w:ascii="方正黑体_GBK" w:hAnsi="方正黑体_GBK" w:eastAsia="方正黑体_GBK"/>
          <w:color w:val="3D3D3D"/>
          <w:kern w:val="0"/>
          <w:sz w:val="20"/>
          <w:szCs w:val="20"/>
          <w:highlight w:val="none"/>
        </w:rPr>
        <w:t>中国</w:t>
      </w:r>
      <w:r>
        <w:rPr>
          <w:rFonts w:hint="eastAsia" w:ascii="方正黑体_GBK" w:hAnsi="方正黑体_GBK" w:eastAsia="方正黑体_GBK"/>
          <w:color w:val="3D3D3D"/>
          <w:kern w:val="0"/>
          <w:sz w:val="20"/>
          <w:szCs w:val="20"/>
          <w:highlight w:val="none"/>
        </w:rPr>
        <w:t>境内</w:t>
      </w:r>
      <w:r>
        <w:rPr>
          <w:rFonts w:ascii="方正黑体_GBK" w:hAnsi="方正黑体_GBK" w:eastAsia="方正黑体_GBK"/>
          <w:color w:val="3D3D3D"/>
          <w:kern w:val="0"/>
          <w:sz w:val="20"/>
          <w:szCs w:val="20"/>
          <w:highlight w:val="none"/>
        </w:rPr>
        <w:t>或全球金融外汇市场发生致使甲方无法进行货币兑换、划转等的异常变化；</w:t>
      </w:r>
    </w:p>
    <w:p w14:paraId="31CA4648">
      <w:pPr>
        <w:pStyle w:val="57"/>
        <w:keepNext w:val="0"/>
        <w:keepLines w:val="0"/>
        <w:pageBreakBefore w:val="0"/>
        <w:widowControl/>
        <w:numPr>
          <w:ilvl w:val="0"/>
          <w:numId w:val="2"/>
        </w:numPr>
        <w:suppressLineNumbers w:val="0"/>
        <w:tabs>
          <w:tab w:val="left" w:pos="567"/>
        </w:tabs>
        <w:suppressAutoHyphens w:val="0"/>
        <w:spacing w:line="240" w:lineRule="auto"/>
        <w:ind w:firstLineChars="0"/>
        <w:rPr>
          <w:color w:val="3D3D3D"/>
          <w:kern w:val="0"/>
          <w:sz w:val="20"/>
          <w:szCs w:val="20"/>
          <w:highlight w:val="none"/>
        </w:rPr>
      </w:pPr>
      <w:r>
        <w:rPr>
          <w:rFonts w:ascii="方正黑体_GBK" w:hAnsi="方正黑体_GBK" w:eastAsia="方正黑体_GBK"/>
          <w:color w:val="3D3D3D"/>
          <w:kern w:val="0"/>
          <w:sz w:val="20"/>
          <w:szCs w:val="20"/>
          <w:highlight w:val="none"/>
        </w:rPr>
        <w:t>因理财产品各方和/或其关联方运营网络系统遭受黑客攻击、电信部门技术调整或故障等原因而造成的理财产品各方和/或其关联方之服务、营业的中断或者延迟。</w:t>
      </w:r>
    </w:p>
    <w:p w14:paraId="6A919D47">
      <w:pPr>
        <w:pStyle w:val="44"/>
        <w:keepNext w:val="0"/>
        <w:keepLines w:val="0"/>
        <w:pageBreakBefore w:val="0"/>
        <w:widowControl/>
        <w:suppressLineNumbers w:val="0"/>
        <w:tabs>
          <w:tab w:val="left" w:pos="567"/>
        </w:tabs>
        <w:suppressAutoHyphens w:val="0"/>
        <w:spacing w:line="240" w:lineRule="auto"/>
        <w:ind w:left="289" w:firstLine="0"/>
        <w:rPr>
          <w:color w:val="3D3D3D"/>
          <w:kern w:val="0"/>
          <w:sz w:val="20"/>
          <w:szCs w:val="20"/>
          <w:highlight w:val="none"/>
        </w:rPr>
      </w:pPr>
      <w:r>
        <w:rPr>
          <w:rFonts w:ascii="方正黑体_GBK" w:hAnsi="方正黑体_GBK" w:eastAsia="方正黑体_GBK"/>
          <w:color w:val="3D3D3D"/>
          <w:kern w:val="0"/>
          <w:sz w:val="20"/>
          <w:szCs w:val="20"/>
          <w:highlight w:val="none"/>
        </w:rPr>
        <w:t xml:space="preserve"> 2.中国：指中华人民共和国（为本理财产品销售文件之目的，不包括香港特别行政区、澳门特别行政区和台湾地区）。</w:t>
      </w:r>
    </w:p>
    <w:p w14:paraId="38AF3EB2">
      <w:pPr>
        <w:pStyle w:val="44"/>
        <w:keepNext w:val="0"/>
        <w:keepLines w:val="0"/>
        <w:pageBreakBefore w:val="0"/>
        <w:widowControl/>
        <w:suppressLineNumbers w:val="0"/>
        <w:tabs>
          <w:tab w:val="left" w:pos="567"/>
        </w:tabs>
        <w:suppressAutoHyphens w:val="0"/>
        <w:spacing w:line="240" w:lineRule="auto"/>
        <w:ind w:left="289" w:firstLine="0"/>
        <w:rPr>
          <w:color w:val="3D3D3D"/>
          <w:kern w:val="0"/>
          <w:sz w:val="20"/>
          <w:szCs w:val="20"/>
          <w:highlight w:val="none"/>
        </w:rPr>
      </w:pPr>
      <w:r>
        <w:rPr>
          <w:rFonts w:ascii="方正黑体_GBK" w:hAnsi="方正黑体_GBK" w:eastAsia="方正黑体_GBK"/>
          <w:color w:val="3D3D3D"/>
          <w:kern w:val="0"/>
          <w:sz w:val="20"/>
          <w:szCs w:val="20"/>
          <w:highlight w:val="none"/>
        </w:rPr>
        <w:t xml:space="preserve"> 3.元：指人民币元。</w:t>
      </w:r>
    </w:p>
    <w:p w14:paraId="26F12EC6">
      <w:pPr>
        <w:pStyle w:val="44"/>
        <w:keepNext w:val="0"/>
        <w:keepLines w:val="0"/>
        <w:pageBreakBefore w:val="0"/>
        <w:widowControl/>
        <w:suppressLineNumbers w:val="0"/>
        <w:tabs>
          <w:tab w:val="left" w:pos="567"/>
        </w:tabs>
        <w:suppressAutoHyphens w:val="0"/>
        <w:spacing w:line="240" w:lineRule="auto"/>
        <w:ind w:left="289" w:firstLine="0"/>
        <w:rPr>
          <w:rFonts w:hint="eastAsia" w:ascii="方正黑体_GBK" w:hAnsi="方正黑体_GBK" w:eastAsia="方正黑体_GBK"/>
          <w:color w:val="3D3D3D"/>
          <w:kern w:val="0"/>
          <w:sz w:val="20"/>
          <w:szCs w:val="20"/>
          <w:lang w:val="en-US" w:eastAsia="zh-CN"/>
        </w:rPr>
      </w:pPr>
      <w:r>
        <w:rPr>
          <w:rFonts w:ascii="方正黑体_GBK" w:hAnsi="方正黑体_GBK" w:eastAsia="方正黑体_GBK"/>
          <w:color w:val="3D3D3D"/>
          <w:kern w:val="0"/>
          <w:sz w:val="20"/>
          <w:szCs w:val="20"/>
          <w:highlight w:val="none"/>
        </w:rPr>
        <w:t xml:space="preserve"> 4.适用法律：指在销售文件签署日和履行过程中，中国任何立法机构、政府部门、银行间交易商协会、证券交易所、证券登记结算机构、基金业协会依法颁布的，适用于本理财产品相关事宜的法律、行政法规、地方法规、部委规章、地方政府规章、规范性文件、规则、通知、须知、业务指南、指引或操作规程，及其有效的修改、更新或补充。</w:t>
      </w:r>
    </w:p>
    <w:p w14:paraId="30DDFE81">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left="0"/>
        <w:rPr>
          <w:rFonts w:hint="eastAsia"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第三条</w:t>
      </w:r>
      <w:r>
        <w:rPr>
          <w:rFonts w:hint="eastAsia" w:ascii="方正黑体_GBK" w:hAnsi="方正黑体_GBK" w:eastAsia="方正黑体_GBK" w:cs="Times New Roman"/>
          <w:b/>
          <w:bCs/>
          <w:vanish w:val="0"/>
          <w:color w:val="auto"/>
          <w:kern w:val="0"/>
          <w:sz w:val="20"/>
          <w:szCs w:val="20"/>
        </w:rPr>
        <w:t xml:space="preserve">  </w:t>
      </w:r>
      <w:r>
        <w:rPr>
          <w:rFonts w:hint="eastAsia" w:ascii="方正黑体_GBK" w:hAnsi="方正黑体_GBK" w:eastAsia="方正黑体_GBK"/>
          <w:b/>
          <w:bCs/>
          <w:vanish w:val="0"/>
          <w:color w:val="auto"/>
          <w:kern w:val="0"/>
          <w:sz w:val="20"/>
          <w:szCs w:val="20"/>
        </w:rPr>
        <w:t>情景示例</w:t>
      </w:r>
    </w:p>
    <w:p w14:paraId="52E6CF86">
      <w:pPr>
        <w:spacing w:line="240" w:lineRule="auto"/>
        <w:ind w:firstLine="280"/>
        <w:jc w:val="left"/>
        <w:rPr>
          <w:sz w:val="28"/>
          <w:szCs w:val="28"/>
        </w:rPr>
      </w:pPr>
      <w:r>
        <w:rPr>
          <w:rFonts w:ascii="方正黑体_GBK" w:hAnsi="方正黑体_GBK" w:eastAsia="方正黑体_GBK" w:cs="宋体"/>
          <w:sz w:val="20"/>
          <w:szCs w:val="24"/>
        </w:rPr>
        <w:t>假设：投资者投资本理财产品</w:t>
      </w:r>
      <w:r>
        <w:rPr>
          <w:rFonts w:ascii="方正黑体_GBK" w:hAnsi="方正黑体_GBK" w:eastAsia="方正黑体_GBK"/>
          <w:sz w:val="20"/>
          <w:szCs w:val="24"/>
        </w:rPr>
        <w:t>10</w:t>
      </w:r>
      <w:r>
        <w:rPr>
          <w:rFonts w:ascii="方正黑体_GBK" w:hAnsi="方正黑体_GBK" w:eastAsia="方正黑体_GBK" w:cs="宋体"/>
          <w:sz w:val="20"/>
          <w:szCs w:val="24"/>
        </w:rPr>
        <w:t>万元，成立日当日产品净值为</w:t>
      </w:r>
      <w:r>
        <w:rPr>
          <w:rFonts w:ascii="方正黑体_GBK" w:hAnsi="方正黑体_GBK" w:eastAsia="方正黑体_GBK"/>
          <w:sz w:val="20"/>
          <w:szCs w:val="24"/>
        </w:rPr>
        <w:t>1.0000</w:t>
      </w:r>
      <w:r>
        <w:rPr>
          <w:rFonts w:ascii="方正黑体_GBK" w:hAnsi="方正黑体_GBK" w:eastAsia="方正黑体_GBK" w:cs="宋体"/>
          <w:sz w:val="20"/>
          <w:szCs w:val="24"/>
        </w:rPr>
        <w:t>元，折算份额</w:t>
      </w:r>
      <w:r>
        <w:rPr>
          <w:rFonts w:ascii="方正黑体_GBK" w:hAnsi="方正黑体_GBK" w:eastAsia="方正黑体_GBK"/>
          <w:sz w:val="20"/>
          <w:szCs w:val="24"/>
        </w:rPr>
        <w:t>100,000</w:t>
      </w:r>
      <w:r>
        <w:rPr>
          <w:rFonts w:ascii="方正黑体_GBK" w:hAnsi="方正黑体_GBK" w:eastAsia="方正黑体_GBK" w:cs="宋体"/>
          <w:sz w:val="20"/>
          <w:szCs w:val="24"/>
        </w:rPr>
        <w:t>份。</w:t>
      </w:r>
    </w:p>
    <w:p w14:paraId="47CD1B86">
      <w:pPr>
        <w:spacing w:line="240" w:lineRule="auto"/>
        <w:ind w:firstLine="280"/>
        <w:jc w:val="left"/>
        <w:rPr>
          <w:sz w:val="28"/>
          <w:szCs w:val="28"/>
        </w:rPr>
      </w:pPr>
      <w:r>
        <w:rPr>
          <w:rFonts w:ascii="方正黑体_GBK" w:hAnsi="方正黑体_GBK" w:eastAsia="方正黑体_GBK" w:cs="宋体"/>
          <w:sz w:val="20"/>
          <w:szCs w:val="24"/>
        </w:rPr>
        <w:t>情景示例一：产品实际到期日，扣除所有税费后（如有业绩报酬，已扣除）的期末产品每份额净值为</w:t>
      </w:r>
      <w:r>
        <w:rPr>
          <w:rFonts w:ascii="方正黑体_GBK" w:hAnsi="方正黑体_GBK" w:eastAsia="方正黑体_GBK"/>
          <w:sz w:val="20"/>
          <w:szCs w:val="24"/>
        </w:rPr>
        <w:t>1.0300</w:t>
      </w:r>
      <w:r>
        <w:rPr>
          <w:rFonts w:ascii="方正黑体_GBK" w:hAnsi="方正黑体_GBK" w:eastAsia="方正黑体_GBK" w:cs="宋体"/>
          <w:sz w:val="20"/>
          <w:szCs w:val="24"/>
        </w:rPr>
        <w:t>，则客户在资金到帐日收到到期款项为</w:t>
      </w:r>
      <w:r>
        <w:rPr>
          <w:rFonts w:ascii="方正黑体_GBK" w:hAnsi="方正黑体_GBK" w:eastAsia="方正黑体_GBK"/>
          <w:sz w:val="20"/>
          <w:szCs w:val="24"/>
        </w:rPr>
        <w:t>103,000</w:t>
      </w:r>
      <w:r>
        <w:rPr>
          <w:rFonts w:ascii="方正黑体_GBK" w:hAnsi="方正黑体_GBK" w:eastAsia="方正黑体_GBK" w:cs="宋体"/>
          <w:sz w:val="20"/>
          <w:szCs w:val="24"/>
        </w:rPr>
        <w:t>元。</w:t>
      </w:r>
    </w:p>
    <w:p w14:paraId="00B1A2F1">
      <w:pPr>
        <w:spacing w:line="240" w:lineRule="auto"/>
        <w:ind w:firstLine="280"/>
        <w:jc w:val="left"/>
        <w:rPr>
          <w:sz w:val="28"/>
          <w:szCs w:val="28"/>
        </w:rPr>
      </w:pPr>
      <w:r>
        <w:rPr>
          <w:rFonts w:ascii="方正黑体_GBK" w:hAnsi="方正黑体_GBK" w:eastAsia="方正黑体_GBK" w:cs="宋体"/>
          <w:sz w:val="20"/>
          <w:szCs w:val="24"/>
        </w:rPr>
        <w:t>情景示例二：产品实际到期日，扣除所有税费后（如有业绩报酬，已扣除）的期末产品每份额净值为</w:t>
      </w:r>
      <w:r>
        <w:rPr>
          <w:rFonts w:ascii="方正黑体_GBK" w:hAnsi="方正黑体_GBK" w:eastAsia="方正黑体_GBK"/>
          <w:sz w:val="20"/>
          <w:szCs w:val="24"/>
        </w:rPr>
        <w:t>0.9700</w:t>
      </w:r>
      <w:r>
        <w:rPr>
          <w:rFonts w:ascii="方正黑体_GBK" w:hAnsi="方正黑体_GBK" w:eastAsia="方正黑体_GBK" w:cs="宋体"/>
          <w:sz w:val="20"/>
          <w:szCs w:val="24"/>
        </w:rPr>
        <w:t>，则客户在资金到帐日收到到期款项为</w:t>
      </w:r>
      <w:r>
        <w:rPr>
          <w:rFonts w:ascii="方正黑体_GBK" w:hAnsi="方正黑体_GBK" w:eastAsia="方正黑体_GBK"/>
          <w:sz w:val="20"/>
          <w:szCs w:val="24"/>
        </w:rPr>
        <w:t>97,000</w:t>
      </w:r>
      <w:r>
        <w:rPr>
          <w:rFonts w:ascii="方正黑体_GBK" w:hAnsi="方正黑体_GBK" w:eastAsia="方正黑体_GBK" w:cs="宋体"/>
          <w:sz w:val="20"/>
          <w:szCs w:val="24"/>
        </w:rPr>
        <w:t>元。</w:t>
      </w:r>
      <w:r>
        <w:rPr>
          <w:rFonts w:ascii="方正黑体_GBK" w:hAnsi="方正黑体_GBK" w:eastAsia="方正黑体_GBK" w:cs="宋体"/>
          <w:color w:val="000000"/>
          <w:sz w:val="20"/>
          <w:szCs w:val="24"/>
        </w:rPr>
        <w:t>以上数据为假设情形中的模拟数据，不代表实际收益，投资须谨慎。</w:t>
      </w:r>
    </w:p>
    <w:p w14:paraId="1B987394">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rPr>
          <w:rFonts w:hint="eastAsia" w:ascii="方正黑体_GBK" w:hAnsi="方正黑体_GBK" w:eastAsia="方正黑体_GBK"/>
          <w:vanish w:val="0"/>
          <w:sz w:val="20"/>
          <w:szCs w:val="20"/>
        </w:rPr>
      </w:pPr>
      <w:r>
        <w:rPr>
          <w:rFonts w:hint="eastAsia" w:ascii="方正黑体_GBK" w:hAnsi="方正黑体_GBK" w:eastAsia="方正黑体_GBK"/>
          <w:b/>
          <w:bCs/>
          <w:vanish w:val="0"/>
          <w:color w:val="auto"/>
          <w:kern w:val="0"/>
          <w:sz w:val="20"/>
          <w:szCs w:val="20"/>
        </w:rPr>
        <w:t>特别提请投资者注意的是，上述收益率测算仅为情景示例，不代表未来业绩，也不成为确定本理财产品预期收益率以及实现本理财产品最终收益率的可靠依据。本理财最终收益率实现将视市场情况等因素而定，投资者所能获得的理财分配金额以产品管理人按本理财产品说明书约定计算并向投资者实际支付为准，敬请投资者仔细判别。</w:t>
      </w:r>
    </w:p>
    <w:p w14:paraId="37204875">
      <w:pPr>
        <w:pStyle w:val="29"/>
        <w:keepNext w:val="0"/>
        <w:keepLines w:val="0"/>
        <w:pageBreakBefore w:val="0"/>
        <w:widowControl/>
        <w:suppressLineNumbers w:val="0"/>
        <w:suppressAutoHyphens w:val="0"/>
        <w:spacing w:line="240" w:lineRule="auto"/>
        <w:ind w:firstLine="400" w:firstLineChars="200"/>
        <w:rPr>
          <w:rFonts w:hint="eastAsia" w:ascii="方正黑体_GBK" w:hAnsi="方正黑体_GBK" w:eastAsia="方正黑体_GBK"/>
          <w:sz w:val="24"/>
          <w:szCs w:val="24"/>
          <w:lang w:val="en-US" w:eastAsia="zh-CN"/>
        </w:rPr>
      </w:pPr>
      <w:r>
        <w:rPr>
          <w:rFonts w:hint="eastAsia" w:ascii="方正黑体_GBK" w:hAnsi="方正黑体_GBK" w:eastAsia="方正黑体_GBK"/>
          <w:b/>
          <w:bCs/>
          <w:vanish w:val="0"/>
          <w:kern w:val="0"/>
          <w:sz w:val="20"/>
          <w:szCs w:val="20"/>
        </w:rPr>
        <w:t>风险提示：如出现本理财产品所投资的资产或资产组合项下义务人出现无法兑付本金等极端情况，产品运作到期后投资者可能无收益，并可能损失全部本金。</w:t>
      </w:r>
    </w:p>
    <w:p w14:paraId="425DF9AE">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left="0"/>
        <w:rPr>
          <w:rFonts w:ascii="方正黑体_GBK" w:hAnsi="方正黑体_GBK" w:eastAsia="方正黑体_GBK"/>
          <w:b/>
          <w:bCs w:val="0"/>
          <w:vanish w:val="0"/>
          <w:color w:val="auto"/>
          <w:kern w:val="0"/>
          <w:sz w:val="20"/>
          <w:szCs w:val="20"/>
        </w:rPr>
      </w:pPr>
      <w:r>
        <w:rPr>
          <w:rFonts w:hint="eastAsia" w:ascii="方正黑体_GBK" w:hAnsi="方正黑体_GBK" w:eastAsia="方正黑体_GBK"/>
          <w:b/>
          <w:bCs/>
          <w:vanish w:val="0"/>
          <w:color w:val="auto"/>
          <w:kern w:val="0"/>
          <w:sz w:val="20"/>
          <w:szCs w:val="20"/>
        </w:rPr>
        <w:t>第四</w:t>
      </w:r>
      <w:r>
        <w:rPr>
          <w:rFonts w:hint="eastAsia" w:ascii="方正黑体_GBK" w:hAnsi="方正黑体_GBK" w:eastAsia="方正黑体_GBK"/>
          <w:b/>
          <w:bCs w:val="0"/>
          <w:vanish w:val="0"/>
          <w:color w:val="auto"/>
          <w:kern w:val="0"/>
          <w:sz w:val="20"/>
          <w:szCs w:val="20"/>
        </w:rPr>
        <w:t>条</w:t>
      </w:r>
      <w:r>
        <w:rPr>
          <w:rFonts w:hint="eastAsia" w:ascii="方正黑体_GBK" w:hAnsi="方正黑体_GBK" w:eastAsia="方正黑体_GBK" w:cs="Times New Roman"/>
          <w:b/>
          <w:bCs w:val="0"/>
          <w:vanish w:val="0"/>
          <w:color w:val="auto"/>
          <w:kern w:val="0"/>
          <w:sz w:val="20"/>
          <w:szCs w:val="20"/>
        </w:rPr>
        <w:t xml:space="preserve">  </w:t>
      </w:r>
      <w:r>
        <w:rPr>
          <w:rFonts w:hint="eastAsia" w:ascii="方正黑体_GBK" w:hAnsi="方正黑体_GBK" w:eastAsia="方正黑体_GBK"/>
          <w:b/>
          <w:bCs w:val="0"/>
          <w:vanish w:val="0"/>
          <w:color w:val="auto"/>
          <w:kern w:val="0"/>
          <w:sz w:val="20"/>
          <w:szCs w:val="20"/>
        </w:rPr>
        <w:t>理财产品估值</w:t>
      </w:r>
    </w:p>
    <w:p w14:paraId="2F13CB95">
      <w:pPr>
        <w:spacing w:line="240" w:lineRule="auto"/>
        <w:ind w:firstLine="300"/>
        <w:jc w:val="both"/>
        <w:rPr>
          <w:sz w:val="28"/>
          <w:szCs w:val="28"/>
        </w:rPr>
      </w:pPr>
      <w:r>
        <w:rPr>
          <w:rFonts w:ascii="方正黑体_GBK" w:hAnsi="方正黑体_GBK" w:eastAsia="方正黑体_GBK" w:cs="宋体"/>
          <w:sz w:val="20"/>
          <w:szCs w:val="24"/>
        </w:rPr>
        <w:t>（一）估值日</w:t>
      </w:r>
    </w:p>
    <w:p w14:paraId="292EA533">
      <w:pPr>
        <w:spacing w:line="240" w:lineRule="auto"/>
        <w:ind w:firstLine="300"/>
        <w:jc w:val="both"/>
        <w:rPr>
          <w:sz w:val="28"/>
          <w:szCs w:val="28"/>
        </w:rPr>
      </w:pPr>
      <w:r>
        <w:rPr>
          <w:rFonts w:ascii="方正黑体_GBK" w:hAnsi="方正黑体_GBK" w:eastAsia="方正黑体_GBK" w:cs="宋体"/>
          <w:sz w:val="20"/>
          <w:szCs w:val="24"/>
        </w:rPr>
        <w:t>本理财产品每个工作日进行估值。</w:t>
      </w:r>
    </w:p>
    <w:p w14:paraId="67AAC52A">
      <w:pPr>
        <w:spacing w:line="240" w:lineRule="auto"/>
        <w:ind w:firstLine="300"/>
        <w:jc w:val="both"/>
        <w:rPr>
          <w:sz w:val="28"/>
          <w:szCs w:val="28"/>
        </w:rPr>
      </w:pPr>
      <w:r>
        <w:rPr>
          <w:rFonts w:ascii="方正黑体_GBK" w:hAnsi="方正黑体_GBK" w:eastAsia="方正黑体_GBK" w:cs="宋体"/>
          <w:sz w:val="20"/>
          <w:szCs w:val="24"/>
        </w:rPr>
        <w:t>（二）估值对象</w:t>
      </w:r>
    </w:p>
    <w:p w14:paraId="49511D5B">
      <w:pPr>
        <w:spacing w:line="240" w:lineRule="auto"/>
        <w:ind w:firstLine="300"/>
        <w:jc w:val="both"/>
        <w:rPr>
          <w:sz w:val="28"/>
          <w:szCs w:val="28"/>
        </w:rPr>
      </w:pPr>
      <w:r>
        <w:rPr>
          <w:rFonts w:ascii="方正黑体_GBK" w:hAnsi="方正黑体_GBK" w:eastAsia="方正黑体_GBK" w:cs="宋体"/>
          <w:sz w:val="20"/>
          <w:szCs w:val="24"/>
        </w:rPr>
        <w:t>本理财产品所拥有的所有资产及负债。</w:t>
      </w:r>
    </w:p>
    <w:p w14:paraId="78EDF7EE">
      <w:pPr>
        <w:spacing w:line="240" w:lineRule="auto"/>
        <w:ind w:firstLine="300"/>
        <w:jc w:val="both"/>
        <w:rPr>
          <w:sz w:val="28"/>
          <w:szCs w:val="28"/>
        </w:rPr>
      </w:pPr>
      <w:r>
        <w:rPr>
          <w:rFonts w:ascii="方正黑体_GBK" w:hAnsi="方正黑体_GBK" w:eastAsia="方正黑体_GBK" w:cs="宋体"/>
          <w:sz w:val="20"/>
          <w:szCs w:val="24"/>
        </w:rPr>
        <w:t>（三）估值目的</w:t>
      </w:r>
    </w:p>
    <w:p w14:paraId="53060CE6">
      <w:pPr>
        <w:spacing w:line="240" w:lineRule="auto"/>
        <w:ind w:firstLine="300"/>
        <w:jc w:val="both"/>
        <w:rPr>
          <w:sz w:val="28"/>
          <w:szCs w:val="28"/>
        </w:rPr>
      </w:pPr>
      <w:r>
        <w:rPr>
          <w:rFonts w:ascii="方正黑体_GBK" w:hAnsi="方正黑体_GBK" w:eastAsia="方正黑体_GBK" w:cs="宋体"/>
          <w:sz w:val="20"/>
          <w:szCs w:val="24"/>
        </w:rPr>
        <w:t>客观、准确反映理财产品的价值。</w:t>
      </w:r>
    </w:p>
    <w:p w14:paraId="0C05C39E">
      <w:pPr>
        <w:spacing w:line="240" w:lineRule="auto"/>
        <w:ind w:firstLine="300"/>
        <w:jc w:val="both"/>
        <w:rPr>
          <w:sz w:val="28"/>
          <w:szCs w:val="28"/>
        </w:rPr>
      </w:pPr>
      <w:r>
        <w:rPr>
          <w:rFonts w:ascii="方正黑体_GBK" w:hAnsi="方正黑体_GBK" w:eastAsia="方正黑体_GBK" w:cs="宋体"/>
          <w:sz w:val="20"/>
          <w:szCs w:val="24"/>
        </w:rPr>
        <w:t>（四）估值原则</w:t>
      </w:r>
    </w:p>
    <w:p w14:paraId="30F137BC">
      <w:pPr>
        <w:spacing w:line="240" w:lineRule="auto"/>
        <w:ind w:firstLine="300"/>
        <w:jc w:val="both"/>
        <w:rPr>
          <w:sz w:val="28"/>
          <w:szCs w:val="28"/>
        </w:rPr>
      </w:pPr>
      <w:r>
        <w:rPr>
          <w:rFonts w:ascii="方正黑体_GBK" w:hAnsi="方正黑体_GBK" w:eastAsia="方正黑体_GBK" w:cs="宋体"/>
          <w:sz w:val="20"/>
          <w:szCs w:val="24"/>
        </w:rPr>
        <w:t>理财产品应坚持公允价值计量原则，优先采用市值法，符合会计准则和监管规定的范围内的可选择摊余成本法计量。</w:t>
      </w:r>
    </w:p>
    <w:p w14:paraId="4585130E">
      <w:pPr>
        <w:spacing w:line="240" w:lineRule="auto"/>
        <w:ind w:firstLine="300"/>
        <w:jc w:val="both"/>
        <w:rPr>
          <w:sz w:val="28"/>
          <w:szCs w:val="28"/>
        </w:rPr>
      </w:pPr>
      <w:r>
        <w:rPr>
          <w:rFonts w:ascii="方正黑体_GBK" w:hAnsi="方正黑体_GBK" w:eastAsia="方正黑体_GBK" w:cs="宋体"/>
          <w:sz w:val="20"/>
          <w:szCs w:val="24"/>
        </w:rPr>
        <w:t>（五）估值方法</w:t>
      </w:r>
    </w:p>
    <w:p w14:paraId="3ADC0FAF">
      <w:pPr>
        <w:spacing w:line="240" w:lineRule="auto"/>
        <w:ind w:firstLine="440"/>
        <w:rPr>
          <w:sz w:val="28"/>
          <w:szCs w:val="28"/>
        </w:rPr>
      </w:pPr>
      <w:r>
        <w:rPr>
          <w:rFonts w:ascii="方正黑体_GBK" w:hAnsi="方正黑体_GBK" w:eastAsia="方正黑体_GBK" w:cs="宋体"/>
          <w:sz w:val="20"/>
          <w:szCs w:val="24"/>
        </w:rPr>
        <w:t>估值方法中列示的资产品种不代表管理人的实际投向，本理财产品拟投资范围以“投资范围”章节描述为准。</w:t>
      </w:r>
    </w:p>
    <w:p w14:paraId="03B8AFB4">
      <w:pPr>
        <w:spacing w:line="240" w:lineRule="auto"/>
        <w:ind w:firstLine="440"/>
        <w:rPr>
          <w:sz w:val="28"/>
          <w:szCs w:val="28"/>
        </w:rPr>
      </w:pPr>
      <w:r>
        <w:rPr>
          <w:rFonts w:ascii="方正黑体_GBK" w:hAnsi="方正黑体_GBK" w:eastAsia="方正黑体_GBK" w:cs="宋体"/>
          <w:sz w:val="20"/>
          <w:szCs w:val="24"/>
        </w:rPr>
        <w:t>1.银行存款、回购等货币市场工具</w:t>
      </w:r>
    </w:p>
    <w:p w14:paraId="57E8E1AE">
      <w:pPr>
        <w:spacing w:line="240" w:lineRule="auto"/>
        <w:ind w:firstLine="440"/>
        <w:rPr>
          <w:sz w:val="28"/>
          <w:szCs w:val="28"/>
        </w:rPr>
      </w:pPr>
      <w:r>
        <w:rPr>
          <w:rFonts w:ascii="方正黑体_GBK" w:hAnsi="方正黑体_GBK" w:eastAsia="方正黑体_GBK" w:cs="宋体"/>
          <w:sz w:val="20"/>
          <w:szCs w:val="24"/>
        </w:rPr>
        <w:t>以本金列示，逐日计提利息。</w:t>
      </w:r>
    </w:p>
    <w:p w14:paraId="6826FCA7">
      <w:pPr>
        <w:spacing w:line="240" w:lineRule="auto"/>
        <w:ind w:firstLine="440"/>
        <w:rPr>
          <w:sz w:val="28"/>
          <w:szCs w:val="28"/>
        </w:rPr>
      </w:pPr>
      <w:r>
        <w:rPr>
          <w:rFonts w:ascii="方正黑体_GBK" w:hAnsi="方正黑体_GBK" w:eastAsia="方正黑体_GBK" w:cs="宋体"/>
          <w:sz w:val="20"/>
          <w:szCs w:val="24"/>
        </w:rPr>
        <w:t>2.债券类资产</w:t>
      </w:r>
    </w:p>
    <w:p w14:paraId="1E1FB7A5">
      <w:pPr>
        <w:spacing w:line="240" w:lineRule="auto"/>
        <w:ind w:firstLine="440"/>
        <w:rPr>
          <w:sz w:val="28"/>
          <w:szCs w:val="28"/>
        </w:rPr>
      </w:pPr>
      <w:r>
        <w:rPr>
          <w:rFonts w:ascii="方正黑体_GBK" w:hAnsi="方正黑体_GBK" w:eastAsia="方正黑体_GBK" w:cs="宋体"/>
          <w:sz w:val="20"/>
          <w:szCs w:val="24"/>
        </w:rPr>
        <w:t>本理财产品所投债券均在全国银行间债券市场或证券交易所市场交易，按照监管认可的第三方估值机构提供的相应品种当日的估值净价进行估值，采用市值法估值。对于符合《企业会计准则》及相关监管规定范围内的，分类为“以摊余成本计量的金融资产”的资产按摊余成本法估值，并按照会计准则采用合理减值计量模型或第三方减值计量结果进行预期信用损失的减值计提。</w:t>
      </w:r>
    </w:p>
    <w:p w14:paraId="3219E3C5">
      <w:pPr>
        <w:spacing w:line="240" w:lineRule="auto"/>
        <w:ind w:firstLine="440"/>
        <w:rPr>
          <w:sz w:val="28"/>
          <w:szCs w:val="28"/>
        </w:rPr>
      </w:pPr>
      <w:r>
        <w:rPr>
          <w:rFonts w:ascii="方正黑体_GBK" w:hAnsi="方正黑体_GBK" w:eastAsia="方正黑体_GBK" w:cs="宋体"/>
          <w:sz w:val="20"/>
          <w:szCs w:val="24"/>
        </w:rPr>
        <w:t>3.非标准化债权类资产</w:t>
      </w:r>
    </w:p>
    <w:p w14:paraId="307C3EAB">
      <w:pPr>
        <w:spacing w:line="240" w:lineRule="auto"/>
        <w:ind w:firstLine="440"/>
        <w:rPr>
          <w:sz w:val="28"/>
          <w:szCs w:val="28"/>
        </w:rPr>
      </w:pPr>
      <w:r>
        <w:rPr>
          <w:rFonts w:ascii="方正黑体_GBK" w:hAnsi="方正黑体_GBK" w:eastAsia="方正黑体_GBK" w:cs="宋体"/>
          <w:sz w:val="20"/>
          <w:szCs w:val="24"/>
        </w:rPr>
        <w:t>非标准化债权类资产按照公允价值估值，优先采用市值法估值。对于符合企业会计准则及监管规定范围内且分类为“以摊余成本计量的金融资产”的资产按摊余成本法估值，并按照会计准则采用合理减值计量模型或第三方减值计量结果进行预期信用损失的减值计提。</w:t>
      </w:r>
    </w:p>
    <w:p w14:paraId="0B23E3B6">
      <w:pPr>
        <w:spacing w:line="240" w:lineRule="auto"/>
        <w:ind w:firstLine="440"/>
        <w:rPr>
          <w:sz w:val="28"/>
          <w:szCs w:val="28"/>
        </w:rPr>
      </w:pPr>
      <w:r>
        <w:rPr>
          <w:rFonts w:ascii="方正黑体_GBK" w:hAnsi="方正黑体_GBK" w:eastAsia="方正黑体_GBK" w:cs="宋体"/>
          <w:sz w:val="20"/>
          <w:szCs w:val="24"/>
        </w:rPr>
        <w:t>4.证券投资基金、资管计划、信托计划等资产</w:t>
      </w:r>
    </w:p>
    <w:p w14:paraId="7C4741A7">
      <w:pPr>
        <w:spacing w:line="240" w:lineRule="auto"/>
        <w:ind w:firstLine="440"/>
        <w:rPr>
          <w:sz w:val="28"/>
          <w:szCs w:val="28"/>
        </w:rPr>
      </w:pPr>
      <w:r>
        <w:rPr>
          <w:rFonts w:ascii="方正黑体_GBK" w:hAnsi="方正黑体_GBK" w:eastAsia="方正黑体_GBK" w:cs="宋体"/>
          <w:sz w:val="20"/>
          <w:szCs w:val="24"/>
        </w:rPr>
        <w:t>按照公允价值估值，优先采用市值法估值。管理人将根据监管要求进行穿透管理，资管产品穿透后与理财公司关于同一投资品种的估值原则、政策、技术和方法等一致。</w:t>
      </w:r>
    </w:p>
    <w:p w14:paraId="74974669">
      <w:pPr>
        <w:spacing w:line="240" w:lineRule="auto"/>
        <w:ind w:firstLine="440"/>
        <w:rPr>
          <w:sz w:val="28"/>
          <w:szCs w:val="28"/>
        </w:rPr>
      </w:pPr>
      <w:r>
        <w:rPr>
          <w:rFonts w:ascii="方正黑体_GBK" w:hAnsi="方正黑体_GBK" w:eastAsia="方正黑体_GBK" w:cs="宋体"/>
          <w:sz w:val="20"/>
          <w:szCs w:val="24"/>
        </w:rPr>
        <w:t>5.股权类及其他资产</w:t>
      </w:r>
    </w:p>
    <w:p w14:paraId="41ACCD74">
      <w:pPr>
        <w:spacing w:line="240" w:lineRule="auto"/>
        <w:ind w:firstLine="440"/>
        <w:rPr>
          <w:sz w:val="28"/>
          <w:szCs w:val="28"/>
        </w:rPr>
      </w:pPr>
      <w:r>
        <w:rPr>
          <w:rFonts w:ascii="方正黑体_GBK" w:hAnsi="方正黑体_GBK" w:eastAsia="方正黑体_GBK" w:cs="宋体"/>
          <w:sz w:val="20"/>
          <w:szCs w:val="24"/>
        </w:rPr>
        <w:t>按照公允价值估值，优先采用市值法估值。</w:t>
      </w:r>
    </w:p>
    <w:p w14:paraId="692BA6B0">
      <w:pPr>
        <w:spacing w:line="240" w:lineRule="auto"/>
        <w:ind w:firstLine="440"/>
        <w:rPr>
          <w:sz w:val="28"/>
          <w:szCs w:val="28"/>
        </w:rPr>
      </w:pPr>
      <w:r>
        <w:rPr>
          <w:rFonts w:ascii="方正黑体_GBK" w:hAnsi="方正黑体_GBK" w:eastAsia="方正黑体_GBK" w:cs="宋体"/>
          <w:sz w:val="20"/>
          <w:szCs w:val="24"/>
        </w:rPr>
        <w:t>6.如有新增事项或变更事项，按国家最新规定或监管最新要求进行调整。</w:t>
      </w:r>
    </w:p>
    <w:p w14:paraId="5A8F8C81">
      <w:pPr>
        <w:spacing w:line="240" w:lineRule="auto"/>
        <w:ind w:firstLine="300"/>
        <w:jc w:val="both"/>
        <w:rPr>
          <w:sz w:val="28"/>
          <w:szCs w:val="28"/>
        </w:rPr>
      </w:pPr>
      <w:r>
        <w:rPr>
          <w:rFonts w:ascii="方正黑体_GBK" w:hAnsi="方正黑体_GBK" w:eastAsia="方正黑体_GBK" w:cs="宋体"/>
          <w:sz w:val="20"/>
          <w:szCs w:val="24"/>
        </w:rPr>
        <w:t>（六）估值错误及暂停估值</w:t>
      </w:r>
    </w:p>
    <w:p w14:paraId="2D6C02A3">
      <w:pPr>
        <w:spacing w:line="240" w:lineRule="auto"/>
        <w:ind w:firstLine="300"/>
        <w:jc w:val="both"/>
        <w:rPr>
          <w:sz w:val="28"/>
          <w:szCs w:val="28"/>
        </w:rPr>
      </w:pPr>
      <w:r>
        <w:rPr>
          <w:rFonts w:ascii="方正黑体_GBK" w:hAnsi="方正黑体_GBK" w:eastAsia="方正黑体_GBK" w:cs="宋体"/>
          <w:sz w:val="20"/>
          <w:szCs w:val="24"/>
        </w:rPr>
        <w:t>当资产估值或份额净值计价错误且给投资者造成损失的，管理人应立即纠正，并采取合理的措施防止损失进一步扩大。理财产品投资所涉及的交易市场遇法定节假日或因其他原因暂停营业、因不可抗力或其他情形致使理财产品管理人或托管人无法准确评估理财产品资产价值的或国家规定或监管认定其他情形的，理财产品管理人与托管人协商后可选择暂停估值。</w:t>
      </w:r>
    </w:p>
    <w:p w14:paraId="4FEDD7AD">
      <w:pPr>
        <w:pStyle w:val="29"/>
        <w:pBdr>
          <w:top w:val="none" w:color="auto" w:sz="0" w:space="0"/>
          <w:left w:val="none" w:color="auto" w:sz="0" w:space="0"/>
          <w:bottom w:val="none" w:color="auto" w:sz="0" w:space="0"/>
          <w:right w:val="none" w:color="auto" w:sz="0" w:space="0"/>
        </w:pBdr>
        <w:spacing w:line="240" w:lineRule="auto"/>
        <w:rPr>
          <w:rFonts w:hint="eastAsia" w:ascii="方正黑体_GBK" w:hAnsi="方正黑体_GBK" w:eastAsia="方正黑体_GBK" w:cs="宋体"/>
          <w:b/>
          <w:bCs/>
          <w:vanish w:val="0"/>
          <w:sz w:val="20"/>
          <w:szCs w:val="20"/>
        </w:rPr>
      </w:pPr>
      <w:r>
        <w:rPr>
          <w:rFonts w:hint="eastAsia" w:ascii="方正黑体_GBK" w:hAnsi="方正黑体_GBK" w:eastAsia="方正黑体_GBK" w:cs="宋体"/>
          <w:b/>
          <w:bCs/>
          <w:vanish w:val="0"/>
          <w:sz w:val="20"/>
          <w:szCs w:val="20"/>
        </w:rPr>
        <w:t>第五条 主体机构</w:t>
      </w:r>
    </w:p>
    <w:p w14:paraId="13AB543F">
      <w:pPr>
        <w:pStyle w:val="29"/>
        <w:pBdr>
          <w:top w:val="none" w:color="auto" w:sz="0" w:space="0"/>
          <w:left w:val="none" w:color="auto" w:sz="0" w:space="0"/>
          <w:bottom w:val="none" w:color="auto" w:sz="0" w:space="0"/>
          <w:right w:val="none" w:color="auto" w:sz="0" w:space="0"/>
        </w:pBdr>
        <w:spacing w:line="240" w:lineRule="auto"/>
        <w:ind w:firstLine="400" w:firstLineChars="200"/>
        <w:rPr>
          <w:rFonts w:hint="eastAsia" w:ascii="方正黑体_GBK" w:hAnsi="方正黑体_GBK" w:eastAsia="方正黑体_GBK" w:cs="宋体"/>
          <w:vanish w:val="0"/>
          <w:sz w:val="20"/>
          <w:szCs w:val="20"/>
        </w:rPr>
      </w:pPr>
      <w:r>
        <w:rPr>
          <w:rFonts w:hint="eastAsia" w:ascii="方正黑体_GBK" w:hAnsi="方正黑体_GBK" w:eastAsia="方正黑体_GBK" w:cs="宋体"/>
          <w:vanish w:val="0"/>
          <w:sz w:val="20"/>
          <w:szCs w:val="20"/>
        </w:rPr>
        <w:t>（一）销售机构基本信息</w:t>
      </w:r>
    </w:p>
    <w:tbl>
      <w:tblPr>
        <w:tblStyle w:val="12"/>
        <w:tblW w:w="0" w:type="auto"/>
        <w:tblInd w:w="36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 w:type="dxa"/>
          <w:bottom w:w="0" w:type="dxa"/>
          <w:right w:w="10" w:type="dxa"/>
        </w:tblCellMar>
      </w:tblPr>
      <w:tblGrid>
        <w:gridCol w:w="1857"/>
        <w:gridCol w:w="3676"/>
        <w:gridCol w:w="2544"/>
      </w:tblGrid>
      <w:tr w14:paraId="6D1938F7">
        <w:trPr>
          <w:trHeight w:val="300" w:hRule="atLeast"/>
        </w:trPr>
        <w:tc>
          <w:tcPr>
            <w:tcW w:w="2100" w:type="dxa"/>
            <w:tcMar>
              <w:left w:w="120" w:type="dxa"/>
            </w:tcMar>
            <w:vAlign w:val="center"/>
          </w:tcPr>
          <w:p w14:paraId="0B1E4A99">
            <w:pPr>
              <w:spacing w:line="240" w:lineRule="auto"/>
              <w:rPr>
                <w:sz w:val="28"/>
                <w:szCs w:val="28"/>
              </w:rPr>
            </w:pPr>
            <w:r>
              <w:rPr>
                <w:rFonts w:ascii="方正黑体_GBK" w:hAnsi="方正黑体_GBK" w:eastAsia="方正黑体_GBK" w:cs="宋体"/>
                <w:b/>
                <w:sz w:val="20"/>
                <w:szCs w:val="24"/>
              </w:rPr>
              <w:t>销售机构名称</w:t>
            </w:r>
          </w:p>
        </w:tc>
        <w:tc>
          <w:tcPr>
            <w:tcW w:w="4050" w:type="dxa"/>
            <w:tcMar>
              <w:left w:w="120" w:type="dxa"/>
            </w:tcMar>
            <w:vAlign w:val="center"/>
          </w:tcPr>
          <w:p w14:paraId="09BF75F1">
            <w:pPr>
              <w:spacing w:line="240" w:lineRule="auto"/>
              <w:rPr>
                <w:sz w:val="28"/>
                <w:szCs w:val="28"/>
              </w:rPr>
            </w:pPr>
            <w:r>
              <w:rPr>
                <w:rFonts w:ascii="方正黑体_GBK" w:hAnsi="方正黑体_GBK" w:eastAsia="方正黑体_GBK" w:cs="宋体"/>
                <w:b/>
                <w:sz w:val="20"/>
                <w:szCs w:val="24"/>
              </w:rPr>
              <w:t>住所</w:t>
            </w:r>
          </w:p>
        </w:tc>
        <w:tc>
          <w:tcPr>
            <w:tcW w:w="1350" w:type="dxa"/>
            <w:tcMar>
              <w:left w:w="120" w:type="dxa"/>
            </w:tcMar>
            <w:vAlign w:val="center"/>
          </w:tcPr>
          <w:p w14:paraId="7589A4A4">
            <w:pPr>
              <w:spacing w:line="240" w:lineRule="auto"/>
              <w:rPr>
                <w:sz w:val="28"/>
                <w:szCs w:val="28"/>
              </w:rPr>
            </w:pPr>
            <w:r>
              <w:rPr>
                <w:rFonts w:ascii="方正黑体_GBK" w:hAnsi="方正黑体_GBK" w:eastAsia="方正黑体_GBK" w:cs="宋体"/>
                <w:b/>
                <w:sz w:val="20"/>
                <w:szCs w:val="24"/>
              </w:rPr>
              <w:t>联系方式</w:t>
            </w:r>
          </w:p>
        </w:tc>
      </w:tr>
      <w:tr w14:paraId="10429D80">
        <w:trPr>
          <w:trHeight w:val="300" w:hRule="atLeast"/>
        </w:trPr>
        <w:tc>
          <w:tcPr>
            <w:tcW w:w="2100" w:type="dxa"/>
            <w:tcMar>
              <w:left w:w="120" w:type="dxa"/>
            </w:tcMar>
            <w:vAlign w:val="center"/>
          </w:tcPr>
          <w:p w14:paraId="44EA538A">
            <w:pPr>
              <w:spacing w:line="240" w:lineRule="auto"/>
              <w:rPr>
                <w:sz w:val="28"/>
                <w:szCs w:val="28"/>
              </w:rPr>
            </w:pPr>
            <w:r>
              <w:rPr>
                <w:rFonts w:ascii="方正黑体_GBK" w:hAnsi="方正黑体_GBK" w:eastAsia="方正黑体_GBK" w:cs="宋体"/>
                <w:sz w:val="20"/>
                <w:szCs w:val="24"/>
              </w:rPr>
              <w:t>南银理财有限责任公司</w:t>
            </w:r>
          </w:p>
        </w:tc>
        <w:tc>
          <w:tcPr>
            <w:tcW w:w="4050" w:type="dxa"/>
            <w:tcMar>
              <w:left w:w="120" w:type="dxa"/>
            </w:tcMar>
            <w:vAlign w:val="center"/>
          </w:tcPr>
          <w:p w14:paraId="2737E4D5">
            <w:pPr>
              <w:spacing w:line="240" w:lineRule="auto"/>
              <w:rPr>
                <w:sz w:val="28"/>
                <w:szCs w:val="28"/>
              </w:rPr>
            </w:pPr>
            <w:r>
              <w:rPr>
                <w:rFonts w:ascii="方正黑体_GBK" w:hAnsi="方正黑体_GBK" w:eastAsia="方正黑体_GBK" w:cs="宋体"/>
                <w:sz w:val="20"/>
                <w:szCs w:val="24"/>
              </w:rPr>
              <w:t>江苏省南京市建邺区庐山路242号2号楼14-16层</w:t>
            </w:r>
          </w:p>
        </w:tc>
        <w:tc>
          <w:tcPr>
            <w:tcW w:w="1350" w:type="dxa"/>
            <w:tcMar>
              <w:left w:w="120" w:type="dxa"/>
            </w:tcMar>
            <w:vAlign w:val="center"/>
          </w:tcPr>
          <w:p w14:paraId="3C2EEF41">
            <w:pPr>
              <w:spacing w:line="240" w:lineRule="auto"/>
              <w:rPr>
                <w:sz w:val="28"/>
                <w:szCs w:val="28"/>
              </w:rPr>
            </w:pPr>
            <w:r>
              <w:rPr>
                <w:rFonts w:ascii="方正黑体_GBK" w:hAnsi="方正黑体_GBK" w:eastAsia="方正黑体_GBK" w:cs="宋体"/>
                <w:sz w:val="20"/>
                <w:szCs w:val="24"/>
              </w:rPr>
              <w:t>025-83642111</w:t>
            </w:r>
          </w:p>
        </w:tc>
      </w:tr>
      <w:tr w14:paraId="3EEC4675">
        <w:trPr>
          <w:trHeight w:val="300" w:hRule="atLeast"/>
        </w:trPr>
        <w:tc>
          <w:tcPr>
            <w:tcW w:w="2100" w:type="dxa"/>
            <w:tcMar>
              <w:left w:w="120" w:type="dxa"/>
            </w:tcMar>
            <w:vAlign w:val="center"/>
          </w:tcPr>
          <w:p w14:paraId="074B13CF">
            <w:pPr>
              <w:spacing w:line="240" w:lineRule="auto"/>
              <w:rPr>
                <w:sz w:val="28"/>
                <w:szCs w:val="28"/>
              </w:rPr>
            </w:pPr>
            <w:r>
              <w:rPr>
                <w:rFonts w:ascii="方正黑体_GBK" w:hAnsi="方正黑体_GBK" w:eastAsia="方正黑体_GBK" w:cs="宋体"/>
                <w:sz w:val="20"/>
                <w:szCs w:val="24"/>
              </w:rPr>
              <w:t>南京银行股份有限公司</w:t>
            </w:r>
          </w:p>
        </w:tc>
        <w:tc>
          <w:tcPr>
            <w:tcW w:w="4050" w:type="dxa"/>
            <w:tcMar>
              <w:left w:w="120" w:type="dxa"/>
            </w:tcMar>
            <w:vAlign w:val="center"/>
          </w:tcPr>
          <w:p w14:paraId="4AB471BC">
            <w:pPr>
              <w:spacing w:line="240" w:lineRule="auto"/>
              <w:rPr>
                <w:sz w:val="28"/>
                <w:szCs w:val="28"/>
              </w:rPr>
            </w:pPr>
            <w:r>
              <w:rPr>
                <w:rFonts w:ascii="方正黑体_GBK" w:hAnsi="方正黑体_GBK" w:eastAsia="方正黑体_GBK" w:cs="宋体"/>
                <w:sz w:val="20"/>
                <w:szCs w:val="24"/>
              </w:rPr>
              <w:t>南京市建邺区江山大街88号</w:t>
            </w:r>
          </w:p>
        </w:tc>
        <w:tc>
          <w:tcPr>
            <w:tcW w:w="1350" w:type="dxa"/>
            <w:tcMar>
              <w:left w:w="120" w:type="dxa"/>
            </w:tcMar>
            <w:vAlign w:val="center"/>
          </w:tcPr>
          <w:p w14:paraId="429D5B7C">
            <w:pPr>
              <w:spacing w:line="240" w:lineRule="auto"/>
              <w:rPr>
                <w:sz w:val="28"/>
                <w:szCs w:val="28"/>
              </w:rPr>
            </w:pPr>
            <w:r>
              <w:rPr>
                <w:rFonts w:ascii="方正黑体_GBK" w:hAnsi="方正黑体_GBK" w:eastAsia="方正黑体_GBK" w:cs="宋体"/>
                <w:sz w:val="20"/>
                <w:szCs w:val="24"/>
              </w:rPr>
              <w:t>95302</w:t>
            </w:r>
          </w:p>
        </w:tc>
      </w:tr>
      <w:tr w14:paraId="1370C013">
        <w:trPr>
          <w:trHeight w:val="300" w:hRule="atLeast"/>
        </w:trPr>
        <w:tc>
          <w:tcPr>
            <w:tcW w:w="2100" w:type="dxa"/>
            <w:tcMar>
              <w:left w:w="120" w:type="dxa"/>
            </w:tcMar>
            <w:vAlign w:val="center"/>
          </w:tcPr>
          <w:p w14:paraId="5F7F4CC5">
            <w:pPr>
              <w:spacing w:line="240" w:lineRule="auto"/>
              <w:rPr>
                <w:sz w:val="28"/>
                <w:szCs w:val="28"/>
              </w:rPr>
            </w:pPr>
            <w:r>
              <w:rPr>
                <w:rFonts w:ascii="方正黑体_GBK" w:hAnsi="方正黑体_GBK" w:eastAsia="方正黑体_GBK" w:cs="宋体"/>
                <w:sz w:val="20"/>
                <w:szCs w:val="24"/>
              </w:rPr>
              <w:t>江苏太仓农村商业银行股份有限公司</w:t>
            </w:r>
          </w:p>
        </w:tc>
        <w:tc>
          <w:tcPr>
            <w:tcW w:w="4050" w:type="dxa"/>
            <w:tcMar>
              <w:left w:w="120" w:type="dxa"/>
            </w:tcMar>
            <w:vAlign w:val="center"/>
          </w:tcPr>
          <w:p w14:paraId="6A45CB58">
            <w:pPr>
              <w:spacing w:line="240" w:lineRule="auto"/>
              <w:rPr>
                <w:sz w:val="28"/>
                <w:szCs w:val="28"/>
              </w:rPr>
            </w:pPr>
            <w:r>
              <w:rPr>
                <w:rFonts w:ascii="方正黑体_GBK" w:hAnsi="方正黑体_GBK" w:eastAsia="方正黑体_GBK" w:cs="宋体"/>
                <w:sz w:val="20"/>
                <w:szCs w:val="24"/>
              </w:rPr>
              <w:t>太仓市娄东街道上海东路198号</w:t>
            </w:r>
          </w:p>
        </w:tc>
        <w:tc>
          <w:tcPr>
            <w:tcW w:w="1350" w:type="dxa"/>
            <w:tcMar>
              <w:left w:w="120" w:type="dxa"/>
            </w:tcMar>
            <w:vAlign w:val="center"/>
          </w:tcPr>
          <w:p w14:paraId="4EE07E24">
            <w:pPr>
              <w:spacing w:line="240" w:lineRule="auto"/>
              <w:rPr>
                <w:sz w:val="28"/>
                <w:szCs w:val="28"/>
              </w:rPr>
            </w:pPr>
            <w:r>
              <w:rPr>
                <w:rFonts w:ascii="方正黑体_GBK" w:hAnsi="方正黑体_GBK" w:eastAsia="方正黑体_GBK" w:cs="宋体"/>
                <w:sz w:val="20"/>
                <w:szCs w:val="24"/>
              </w:rPr>
              <w:t>4001840060</w:t>
            </w:r>
          </w:p>
        </w:tc>
      </w:tr>
      <w:tr w14:paraId="281B6C8E">
        <w:trPr>
          <w:trHeight w:val="300" w:hRule="atLeast"/>
        </w:trPr>
        <w:tc>
          <w:tcPr>
            <w:tcW w:w="2100" w:type="dxa"/>
            <w:tcMar>
              <w:left w:w="120" w:type="dxa"/>
            </w:tcMar>
            <w:vAlign w:val="center"/>
          </w:tcPr>
          <w:p w14:paraId="37CFF2C0">
            <w:pPr>
              <w:spacing w:line="240" w:lineRule="auto"/>
              <w:rPr>
                <w:sz w:val="28"/>
                <w:szCs w:val="28"/>
              </w:rPr>
            </w:pPr>
            <w:r>
              <w:rPr>
                <w:rFonts w:ascii="方正黑体_GBK" w:hAnsi="方正黑体_GBK" w:eastAsia="方正黑体_GBK" w:cs="宋体"/>
                <w:sz w:val="20"/>
                <w:szCs w:val="24"/>
              </w:rPr>
              <w:t>青岛银行股份有限公司</w:t>
            </w:r>
          </w:p>
        </w:tc>
        <w:tc>
          <w:tcPr>
            <w:tcW w:w="4050" w:type="dxa"/>
            <w:tcMar>
              <w:left w:w="120" w:type="dxa"/>
            </w:tcMar>
            <w:vAlign w:val="center"/>
          </w:tcPr>
          <w:p w14:paraId="72794434">
            <w:pPr>
              <w:spacing w:line="240" w:lineRule="auto"/>
              <w:rPr>
                <w:sz w:val="28"/>
                <w:szCs w:val="28"/>
              </w:rPr>
            </w:pPr>
            <w:r>
              <w:rPr>
                <w:rFonts w:ascii="方正黑体_GBK" w:hAnsi="方正黑体_GBK" w:eastAsia="方正黑体_GBK" w:cs="宋体"/>
                <w:sz w:val="20"/>
                <w:szCs w:val="24"/>
              </w:rPr>
              <w:t>山东省青岛市崂山区秦岭路6号3号楼</w:t>
            </w:r>
          </w:p>
        </w:tc>
        <w:tc>
          <w:tcPr>
            <w:tcW w:w="1350" w:type="dxa"/>
            <w:tcMar>
              <w:left w:w="120" w:type="dxa"/>
            </w:tcMar>
            <w:vAlign w:val="center"/>
          </w:tcPr>
          <w:p w14:paraId="5D4B4D0E">
            <w:pPr>
              <w:spacing w:line="240" w:lineRule="auto"/>
              <w:rPr>
                <w:sz w:val="28"/>
                <w:szCs w:val="28"/>
              </w:rPr>
            </w:pPr>
            <w:r>
              <w:rPr>
                <w:rFonts w:ascii="方正黑体_GBK" w:hAnsi="方正黑体_GBK" w:eastAsia="方正黑体_GBK" w:cs="宋体"/>
                <w:sz w:val="20"/>
                <w:szCs w:val="24"/>
              </w:rPr>
              <w:t>4006696588</w:t>
            </w:r>
          </w:p>
        </w:tc>
      </w:tr>
      <w:tr w14:paraId="569D1A3C">
        <w:trPr>
          <w:trHeight w:val="300" w:hRule="atLeast"/>
        </w:trPr>
        <w:tc>
          <w:tcPr>
            <w:tcW w:w="2100" w:type="dxa"/>
            <w:tcMar>
              <w:left w:w="120" w:type="dxa"/>
            </w:tcMar>
            <w:vAlign w:val="center"/>
          </w:tcPr>
          <w:p w14:paraId="5775F5B7">
            <w:pPr>
              <w:spacing w:line="240" w:lineRule="auto"/>
              <w:rPr>
                <w:sz w:val="28"/>
                <w:szCs w:val="28"/>
              </w:rPr>
            </w:pPr>
            <w:r>
              <w:rPr>
                <w:rFonts w:ascii="方正黑体_GBK" w:hAnsi="方正黑体_GBK" w:eastAsia="方正黑体_GBK" w:cs="宋体"/>
                <w:sz w:val="20"/>
                <w:szCs w:val="24"/>
              </w:rPr>
              <w:t>江苏苏州农村商业银行股份有限公司</w:t>
            </w:r>
          </w:p>
        </w:tc>
        <w:tc>
          <w:tcPr>
            <w:tcW w:w="4050" w:type="dxa"/>
            <w:tcMar>
              <w:left w:w="120" w:type="dxa"/>
            </w:tcMar>
            <w:vAlign w:val="center"/>
          </w:tcPr>
          <w:p w14:paraId="7DB5B21A">
            <w:pPr>
              <w:spacing w:line="240" w:lineRule="auto"/>
              <w:rPr>
                <w:sz w:val="28"/>
                <w:szCs w:val="28"/>
              </w:rPr>
            </w:pPr>
            <w:r>
              <w:rPr>
                <w:rFonts w:ascii="方正黑体_GBK" w:hAnsi="方正黑体_GBK" w:eastAsia="方正黑体_GBK" w:cs="宋体"/>
                <w:sz w:val="20"/>
                <w:szCs w:val="24"/>
              </w:rPr>
              <w:t>江苏省苏州市吴江区中山南路1777号</w:t>
            </w:r>
          </w:p>
        </w:tc>
        <w:tc>
          <w:tcPr>
            <w:tcW w:w="1350" w:type="dxa"/>
            <w:tcMar>
              <w:left w:w="120" w:type="dxa"/>
            </w:tcMar>
            <w:vAlign w:val="center"/>
          </w:tcPr>
          <w:p w14:paraId="6F45A03E">
            <w:pPr>
              <w:spacing w:line="240" w:lineRule="auto"/>
              <w:rPr>
                <w:sz w:val="28"/>
                <w:szCs w:val="28"/>
              </w:rPr>
            </w:pPr>
            <w:r>
              <w:rPr>
                <w:rFonts w:ascii="方正黑体_GBK" w:hAnsi="方正黑体_GBK" w:eastAsia="方正黑体_GBK" w:cs="宋体"/>
                <w:sz w:val="20"/>
                <w:szCs w:val="24"/>
              </w:rPr>
              <w:t>956111</w:t>
            </w:r>
          </w:p>
        </w:tc>
      </w:tr>
      <w:tr w14:paraId="7F71C6A3">
        <w:trPr>
          <w:trHeight w:val="300" w:hRule="atLeast"/>
        </w:trPr>
        <w:tc>
          <w:tcPr>
            <w:tcW w:w="2100" w:type="dxa"/>
            <w:tcMar>
              <w:left w:w="120" w:type="dxa"/>
            </w:tcMar>
            <w:vAlign w:val="center"/>
          </w:tcPr>
          <w:p w14:paraId="657BC33B">
            <w:pPr>
              <w:spacing w:line="240" w:lineRule="auto"/>
              <w:rPr>
                <w:sz w:val="28"/>
                <w:szCs w:val="28"/>
              </w:rPr>
            </w:pPr>
            <w:r>
              <w:rPr>
                <w:rFonts w:ascii="方正黑体_GBK" w:hAnsi="方正黑体_GBK" w:eastAsia="方正黑体_GBK" w:cs="宋体"/>
                <w:sz w:val="20"/>
                <w:szCs w:val="24"/>
              </w:rPr>
              <w:t>福建海峡银行股份有限公司</w:t>
            </w:r>
          </w:p>
        </w:tc>
        <w:tc>
          <w:tcPr>
            <w:tcW w:w="4050" w:type="dxa"/>
            <w:tcMar>
              <w:left w:w="120" w:type="dxa"/>
            </w:tcMar>
            <w:vAlign w:val="center"/>
          </w:tcPr>
          <w:p w14:paraId="4480BC0B">
            <w:pPr>
              <w:spacing w:line="240" w:lineRule="auto"/>
              <w:rPr>
                <w:sz w:val="28"/>
                <w:szCs w:val="28"/>
              </w:rPr>
            </w:pPr>
            <w:r>
              <w:rPr>
                <w:rFonts w:ascii="方正黑体_GBK" w:hAnsi="方正黑体_GBK" w:eastAsia="方正黑体_GBK" w:cs="宋体"/>
                <w:sz w:val="20"/>
                <w:szCs w:val="24"/>
              </w:rPr>
              <w:t>福建省福州市台江区江滨中大道358号海峡银行大厦</w:t>
            </w:r>
          </w:p>
        </w:tc>
        <w:tc>
          <w:tcPr>
            <w:tcW w:w="1350" w:type="dxa"/>
            <w:tcMar>
              <w:left w:w="120" w:type="dxa"/>
            </w:tcMar>
            <w:vAlign w:val="center"/>
          </w:tcPr>
          <w:p w14:paraId="294EE507">
            <w:pPr>
              <w:spacing w:line="240" w:lineRule="auto"/>
              <w:rPr>
                <w:sz w:val="28"/>
                <w:szCs w:val="28"/>
              </w:rPr>
            </w:pPr>
            <w:r>
              <w:rPr>
                <w:rFonts w:ascii="方正黑体_GBK" w:hAnsi="方正黑体_GBK" w:eastAsia="方正黑体_GBK" w:cs="宋体"/>
                <w:sz w:val="20"/>
                <w:szCs w:val="24"/>
              </w:rPr>
              <w:t>0591-4008939999</w:t>
            </w:r>
          </w:p>
        </w:tc>
      </w:tr>
      <w:tr w14:paraId="14240A6E">
        <w:trPr>
          <w:trHeight w:val="300" w:hRule="atLeast"/>
        </w:trPr>
        <w:tc>
          <w:tcPr>
            <w:tcW w:w="2100" w:type="dxa"/>
            <w:tcMar>
              <w:left w:w="120" w:type="dxa"/>
            </w:tcMar>
            <w:vAlign w:val="center"/>
          </w:tcPr>
          <w:p w14:paraId="06C5B1A4">
            <w:pPr>
              <w:spacing w:line="240" w:lineRule="auto"/>
              <w:rPr>
                <w:sz w:val="28"/>
                <w:szCs w:val="28"/>
              </w:rPr>
            </w:pPr>
            <w:r>
              <w:rPr>
                <w:rFonts w:ascii="方正黑体_GBK" w:hAnsi="方正黑体_GBK" w:eastAsia="方正黑体_GBK" w:cs="宋体"/>
                <w:sz w:val="20"/>
                <w:szCs w:val="24"/>
              </w:rPr>
              <w:t>秦皇岛银行股份有限公司</w:t>
            </w:r>
          </w:p>
        </w:tc>
        <w:tc>
          <w:tcPr>
            <w:tcW w:w="4050" w:type="dxa"/>
            <w:tcMar>
              <w:left w:w="120" w:type="dxa"/>
            </w:tcMar>
            <w:vAlign w:val="center"/>
          </w:tcPr>
          <w:p w14:paraId="5CBC9F0C">
            <w:pPr>
              <w:spacing w:line="240" w:lineRule="auto"/>
              <w:rPr>
                <w:sz w:val="28"/>
                <w:szCs w:val="28"/>
              </w:rPr>
            </w:pPr>
            <w:r>
              <w:rPr>
                <w:rFonts w:ascii="方正黑体_GBK" w:hAnsi="方正黑体_GBK" w:eastAsia="方正黑体_GBK" w:cs="宋体"/>
                <w:sz w:val="20"/>
                <w:szCs w:val="24"/>
              </w:rPr>
              <w:t>河北省秦皇岛市海港区河北大街西段 560 号</w:t>
            </w:r>
          </w:p>
        </w:tc>
        <w:tc>
          <w:tcPr>
            <w:tcW w:w="1350" w:type="dxa"/>
            <w:tcMar>
              <w:left w:w="120" w:type="dxa"/>
            </w:tcMar>
            <w:vAlign w:val="center"/>
          </w:tcPr>
          <w:p w14:paraId="54154650">
            <w:pPr>
              <w:spacing w:line="240" w:lineRule="auto"/>
              <w:rPr>
                <w:sz w:val="28"/>
                <w:szCs w:val="28"/>
              </w:rPr>
            </w:pPr>
            <w:r>
              <w:rPr>
                <w:rFonts w:ascii="方正黑体_GBK" w:hAnsi="方正黑体_GBK" w:eastAsia="方正黑体_GBK" w:cs="宋体"/>
                <w:sz w:val="20"/>
                <w:szCs w:val="24"/>
              </w:rPr>
              <w:t>0335-96336</w:t>
            </w:r>
          </w:p>
        </w:tc>
      </w:tr>
      <w:tr w14:paraId="5F3E091E">
        <w:trPr>
          <w:trHeight w:val="300" w:hRule="atLeast"/>
        </w:trPr>
        <w:tc>
          <w:tcPr>
            <w:tcW w:w="2100" w:type="dxa"/>
            <w:tcMar>
              <w:left w:w="120" w:type="dxa"/>
            </w:tcMar>
            <w:vAlign w:val="center"/>
          </w:tcPr>
          <w:p w14:paraId="07345B8D">
            <w:pPr>
              <w:spacing w:line="240" w:lineRule="auto"/>
              <w:rPr>
                <w:sz w:val="28"/>
                <w:szCs w:val="28"/>
              </w:rPr>
            </w:pPr>
            <w:r>
              <w:rPr>
                <w:rFonts w:ascii="方正黑体_GBK" w:hAnsi="方正黑体_GBK" w:eastAsia="方正黑体_GBK" w:cs="宋体"/>
                <w:sz w:val="20"/>
                <w:szCs w:val="24"/>
              </w:rPr>
              <w:t>泰安银行股份有限公司</w:t>
            </w:r>
          </w:p>
        </w:tc>
        <w:tc>
          <w:tcPr>
            <w:tcW w:w="4050" w:type="dxa"/>
            <w:tcMar>
              <w:left w:w="120" w:type="dxa"/>
            </w:tcMar>
            <w:vAlign w:val="center"/>
          </w:tcPr>
          <w:p w14:paraId="0528BB59">
            <w:pPr>
              <w:spacing w:line="240" w:lineRule="auto"/>
              <w:rPr>
                <w:sz w:val="28"/>
                <w:szCs w:val="28"/>
              </w:rPr>
            </w:pPr>
            <w:r>
              <w:rPr>
                <w:rFonts w:ascii="方正黑体_GBK" w:hAnsi="方正黑体_GBK" w:eastAsia="方正黑体_GBK" w:cs="宋体"/>
                <w:sz w:val="20"/>
                <w:szCs w:val="24"/>
              </w:rPr>
              <w:t>山东省泰安市长城路3号圣地大厦</w:t>
            </w:r>
          </w:p>
        </w:tc>
        <w:tc>
          <w:tcPr>
            <w:tcW w:w="1350" w:type="dxa"/>
            <w:tcMar>
              <w:left w:w="120" w:type="dxa"/>
            </w:tcMar>
            <w:vAlign w:val="center"/>
          </w:tcPr>
          <w:p w14:paraId="14CC6939">
            <w:pPr>
              <w:spacing w:line="240" w:lineRule="auto"/>
              <w:rPr>
                <w:sz w:val="28"/>
                <w:szCs w:val="28"/>
              </w:rPr>
            </w:pPr>
            <w:r>
              <w:rPr>
                <w:rFonts w:ascii="方正黑体_GBK" w:hAnsi="方正黑体_GBK" w:eastAsia="方正黑体_GBK" w:cs="宋体"/>
                <w:sz w:val="20"/>
                <w:szCs w:val="24"/>
              </w:rPr>
              <w:t>0538-96588</w:t>
            </w:r>
          </w:p>
        </w:tc>
      </w:tr>
      <w:tr w14:paraId="364EA8F4">
        <w:trPr>
          <w:trHeight w:val="300" w:hRule="atLeast"/>
        </w:trPr>
        <w:tc>
          <w:tcPr>
            <w:tcW w:w="2100" w:type="dxa"/>
            <w:tcMar>
              <w:left w:w="120" w:type="dxa"/>
            </w:tcMar>
            <w:vAlign w:val="center"/>
          </w:tcPr>
          <w:p w14:paraId="725ECC60">
            <w:pPr>
              <w:spacing w:line="240" w:lineRule="auto"/>
              <w:rPr>
                <w:sz w:val="28"/>
                <w:szCs w:val="28"/>
              </w:rPr>
            </w:pPr>
            <w:r>
              <w:rPr>
                <w:rFonts w:ascii="方正黑体_GBK" w:hAnsi="方正黑体_GBK" w:eastAsia="方正黑体_GBK" w:cs="宋体"/>
                <w:sz w:val="20"/>
                <w:szCs w:val="24"/>
              </w:rPr>
              <w:t>宁波东海银行股份有限公司</w:t>
            </w:r>
          </w:p>
        </w:tc>
        <w:tc>
          <w:tcPr>
            <w:tcW w:w="4050" w:type="dxa"/>
            <w:tcMar>
              <w:left w:w="120" w:type="dxa"/>
            </w:tcMar>
            <w:vAlign w:val="center"/>
          </w:tcPr>
          <w:p w14:paraId="10AC94AE">
            <w:pPr>
              <w:spacing w:line="240" w:lineRule="auto"/>
              <w:rPr>
                <w:sz w:val="28"/>
                <w:szCs w:val="28"/>
              </w:rPr>
            </w:pPr>
            <w:r>
              <w:rPr>
                <w:rFonts w:ascii="方正黑体_GBK" w:hAnsi="方正黑体_GBK" w:eastAsia="方正黑体_GBK" w:cs="宋体"/>
                <w:sz w:val="20"/>
                <w:szCs w:val="24"/>
              </w:rPr>
              <w:t>浙江省宁波高新区新晖南路113-127号（单号），扬帆路515号2-10层，高新宝龙商业广场13-19号、22号、29号</w:t>
            </w:r>
          </w:p>
        </w:tc>
        <w:tc>
          <w:tcPr>
            <w:tcW w:w="1350" w:type="dxa"/>
            <w:tcMar>
              <w:left w:w="120" w:type="dxa"/>
            </w:tcMar>
            <w:vAlign w:val="center"/>
          </w:tcPr>
          <w:p w14:paraId="49C07778">
            <w:pPr>
              <w:spacing w:line="240" w:lineRule="auto"/>
              <w:rPr>
                <w:sz w:val="28"/>
                <w:szCs w:val="28"/>
              </w:rPr>
            </w:pPr>
            <w:r>
              <w:rPr>
                <w:rFonts w:ascii="方正黑体_GBK" w:hAnsi="方正黑体_GBK" w:eastAsia="方正黑体_GBK" w:cs="宋体"/>
                <w:sz w:val="20"/>
                <w:szCs w:val="24"/>
              </w:rPr>
              <w:t>400-8866-345</w:t>
            </w:r>
          </w:p>
        </w:tc>
      </w:tr>
      <w:tr w14:paraId="22FA99D8">
        <w:trPr>
          <w:trHeight w:val="300" w:hRule="atLeast"/>
        </w:trPr>
        <w:tc>
          <w:tcPr>
            <w:tcW w:w="2100" w:type="dxa"/>
            <w:tcMar>
              <w:left w:w="120" w:type="dxa"/>
            </w:tcMar>
            <w:vAlign w:val="center"/>
          </w:tcPr>
          <w:p w14:paraId="7E8EEB95">
            <w:pPr>
              <w:spacing w:line="240" w:lineRule="auto"/>
              <w:rPr>
                <w:sz w:val="28"/>
                <w:szCs w:val="28"/>
              </w:rPr>
            </w:pPr>
            <w:r>
              <w:rPr>
                <w:rFonts w:ascii="方正黑体_GBK" w:hAnsi="方正黑体_GBK" w:eastAsia="方正黑体_GBK" w:cs="宋体"/>
                <w:sz w:val="20"/>
                <w:szCs w:val="24"/>
              </w:rPr>
              <w:t>齐鲁银行股份有限公司</w:t>
            </w:r>
          </w:p>
        </w:tc>
        <w:tc>
          <w:tcPr>
            <w:tcW w:w="4050" w:type="dxa"/>
            <w:tcMar>
              <w:left w:w="120" w:type="dxa"/>
            </w:tcMar>
            <w:vAlign w:val="center"/>
          </w:tcPr>
          <w:p w14:paraId="72504E59">
            <w:pPr>
              <w:spacing w:line="240" w:lineRule="auto"/>
              <w:rPr>
                <w:sz w:val="28"/>
                <w:szCs w:val="28"/>
              </w:rPr>
            </w:pPr>
            <w:r>
              <w:rPr>
                <w:rFonts w:ascii="方正黑体_GBK" w:hAnsi="方正黑体_GBK" w:eastAsia="方正黑体_GBK" w:cs="宋体"/>
                <w:sz w:val="20"/>
                <w:szCs w:val="24"/>
              </w:rPr>
              <w:t>山东省济南市历下区经十路10817号</w:t>
            </w:r>
          </w:p>
        </w:tc>
        <w:tc>
          <w:tcPr>
            <w:tcW w:w="1350" w:type="dxa"/>
            <w:tcMar>
              <w:left w:w="120" w:type="dxa"/>
            </w:tcMar>
            <w:vAlign w:val="center"/>
          </w:tcPr>
          <w:p w14:paraId="78524845">
            <w:pPr>
              <w:spacing w:line="240" w:lineRule="auto"/>
              <w:rPr>
                <w:sz w:val="28"/>
                <w:szCs w:val="28"/>
              </w:rPr>
            </w:pPr>
            <w:r>
              <w:rPr>
                <w:rFonts w:ascii="方正黑体_GBK" w:hAnsi="方正黑体_GBK" w:eastAsia="方正黑体_GBK" w:cs="宋体"/>
                <w:sz w:val="20"/>
                <w:szCs w:val="24"/>
              </w:rPr>
              <w:t>4006096588</w:t>
            </w:r>
          </w:p>
        </w:tc>
      </w:tr>
      <w:tr w14:paraId="6B1A4E1A">
        <w:trPr>
          <w:trHeight w:val="300" w:hRule="atLeast"/>
        </w:trPr>
        <w:tc>
          <w:tcPr>
            <w:tcW w:w="2100" w:type="dxa"/>
            <w:tcMar>
              <w:left w:w="120" w:type="dxa"/>
            </w:tcMar>
            <w:vAlign w:val="center"/>
          </w:tcPr>
          <w:p w14:paraId="47D651A1">
            <w:pPr>
              <w:spacing w:line="240" w:lineRule="auto"/>
              <w:rPr>
                <w:sz w:val="28"/>
                <w:szCs w:val="28"/>
              </w:rPr>
            </w:pPr>
            <w:r>
              <w:rPr>
                <w:rFonts w:ascii="方正黑体_GBK" w:hAnsi="方正黑体_GBK" w:eastAsia="方正黑体_GBK" w:cs="宋体"/>
                <w:sz w:val="20"/>
                <w:szCs w:val="24"/>
              </w:rPr>
              <w:t>贵阳银行股份有限公司</w:t>
            </w:r>
          </w:p>
        </w:tc>
        <w:tc>
          <w:tcPr>
            <w:tcW w:w="4050" w:type="dxa"/>
            <w:tcMar>
              <w:left w:w="120" w:type="dxa"/>
            </w:tcMar>
            <w:vAlign w:val="center"/>
          </w:tcPr>
          <w:p w14:paraId="491BFE83">
            <w:pPr>
              <w:spacing w:line="240" w:lineRule="auto"/>
              <w:rPr>
                <w:sz w:val="28"/>
                <w:szCs w:val="28"/>
              </w:rPr>
            </w:pPr>
            <w:r>
              <w:rPr>
                <w:rFonts w:ascii="方正黑体_GBK" w:hAnsi="方正黑体_GBK" w:eastAsia="方正黑体_GBK" w:cs="宋体"/>
                <w:sz w:val="20"/>
                <w:szCs w:val="24"/>
              </w:rPr>
              <w:t>贵州省贵阳市观山湖区长岭北路中天·会展城B区金融商务区东区1-6栋</w:t>
            </w:r>
          </w:p>
        </w:tc>
        <w:tc>
          <w:tcPr>
            <w:tcW w:w="1350" w:type="dxa"/>
            <w:tcMar>
              <w:left w:w="120" w:type="dxa"/>
            </w:tcMar>
            <w:vAlign w:val="center"/>
          </w:tcPr>
          <w:p w14:paraId="294B4A91">
            <w:pPr>
              <w:spacing w:line="240" w:lineRule="auto"/>
              <w:rPr>
                <w:sz w:val="28"/>
                <w:szCs w:val="28"/>
              </w:rPr>
            </w:pPr>
            <w:r>
              <w:rPr>
                <w:rFonts w:ascii="方正黑体_GBK" w:hAnsi="方正黑体_GBK" w:eastAsia="方正黑体_GBK" w:cs="宋体"/>
                <w:sz w:val="20"/>
                <w:szCs w:val="24"/>
              </w:rPr>
              <w:t>0851-86859053</w:t>
            </w:r>
          </w:p>
        </w:tc>
      </w:tr>
      <w:tr w14:paraId="6759D6FB">
        <w:trPr>
          <w:trHeight w:val="300" w:hRule="atLeast"/>
        </w:trPr>
        <w:tc>
          <w:tcPr>
            <w:tcW w:w="2100" w:type="dxa"/>
            <w:tcMar>
              <w:left w:w="120" w:type="dxa"/>
            </w:tcMar>
            <w:vAlign w:val="center"/>
          </w:tcPr>
          <w:p w14:paraId="172DE185">
            <w:pPr>
              <w:spacing w:line="240" w:lineRule="auto"/>
              <w:rPr>
                <w:sz w:val="28"/>
                <w:szCs w:val="28"/>
              </w:rPr>
            </w:pPr>
            <w:r>
              <w:rPr>
                <w:rFonts w:ascii="方正黑体_GBK" w:hAnsi="方正黑体_GBK" w:eastAsia="方正黑体_GBK" w:cs="宋体"/>
                <w:sz w:val="20"/>
                <w:szCs w:val="24"/>
              </w:rPr>
              <w:t>云南红塔银行股份有限公司</w:t>
            </w:r>
          </w:p>
        </w:tc>
        <w:tc>
          <w:tcPr>
            <w:tcW w:w="4050" w:type="dxa"/>
            <w:tcMar>
              <w:left w:w="120" w:type="dxa"/>
            </w:tcMar>
            <w:vAlign w:val="center"/>
          </w:tcPr>
          <w:p w14:paraId="27A744CD">
            <w:pPr>
              <w:spacing w:line="240" w:lineRule="auto"/>
              <w:rPr>
                <w:sz w:val="28"/>
                <w:szCs w:val="28"/>
              </w:rPr>
            </w:pPr>
            <w:r>
              <w:rPr>
                <w:rFonts w:ascii="方正黑体_GBK" w:hAnsi="方正黑体_GBK" w:eastAsia="方正黑体_GBK" w:cs="宋体"/>
                <w:sz w:val="20"/>
                <w:szCs w:val="24"/>
              </w:rPr>
              <w:t>云南省玉溪市东风南路2号</w:t>
            </w:r>
          </w:p>
        </w:tc>
        <w:tc>
          <w:tcPr>
            <w:tcW w:w="1350" w:type="dxa"/>
            <w:tcMar>
              <w:left w:w="120" w:type="dxa"/>
            </w:tcMar>
            <w:vAlign w:val="center"/>
          </w:tcPr>
          <w:p w14:paraId="15093213">
            <w:pPr>
              <w:spacing w:line="240" w:lineRule="auto"/>
              <w:rPr>
                <w:sz w:val="28"/>
                <w:szCs w:val="28"/>
              </w:rPr>
            </w:pPr>
            <w:r>
              <w:rPr>
                <w:rFonts w:ascii="方正黑体_GBK" w:hAnsi="方正黑体_GBK" w:eastAsia="方正黑体_GBK" w:cs="宋体"/>
                <w:sz w:val="20"/>
                <w:szCs w:val="24"/>
              </w:rPr>
              <w:t>96522</w:t>
            </w:r>
          </w:p>
        </w:tc>
      </w:tr>
      <w:tr w14:paraId="2DEAF963">
        <w:trPr>
          <w:trHeight w:val="300" w:hRule="atLeast"/>
        </w:trPr>
        <w:tc>
          <w:tcPr>
            <w:tcW w:w="2100" w:type="dxa"/>
            <w:tcMar>
              <w:left w:w="120" w:type="dxa"/>
            </w:tcMar>
            <w:vAlign w:val="center"/>
          </w:tcPr>
          <w:p w14:paraId="7FB13CD0">
            <w:pPr>
              <w:spacing w:line="240" w:lineRule="auto"/>
              <w:rPr>
                <w:sz w:val="28"/>
                <w:szCs w:val="28"/>
              </w:rPr>
            </w:pPr>
            <w:r>
              <w:rPr>
                <w:rFonts w:ascii="方正黑体_GBK" w:hAnsi="方正黑体_GBK" w:eastAsia="方正黑体_GBK" w:cs="宋体"/>
                <w:sz w:val="20"/>
                <w:szCs w:val="24"/>
              </w:rPr>
              <w:t>天津农村商业银行股份有限公司</w:t>
            </w:r>
          </w:p>
        </w:tc>
        <w:tc>
          <w:tcPr>
            <w:tcW w:w="4050" w:type="dxa"/>
            <w:tcMar>
              <w:left w:w="120" w:type="dxa"/>
            </w:tcMar>
            <w:vAlign w:val="center"/>
          </w:tcPr>
          <w:p w14:paraId="48ACB47D">
            <w:pPr>
              <w:spacing w:line="240" w:lineRule="auto"/>
              <w:rPr>
                <w:sz w:val="28"/>
                <w:szCs w:val="28"/>
              </w:rPr>
            </w:pPr>
            <w:r>
              <w:rPr>
                <w:rFonts w:ascii="方正黑体_GBK" w:hAnsi="方正黑体_GBK" w:eastAsia="方正黑体_GBK" w:cs="宋体"/>
                <w:sz w:val="20"/>
                <w:szCs w:val="24"/>
              </w:rPr>
              <w:t>天津市河西区友谊路32号</w:t>
            </w:r>
          </w:p>
        </w:tc>
        <w:tc>
          <w:tcPr>
            <w:tcW w:w="1350" w:type="dxa"/>
            <w:tcMar>
              <w:left w:w="120" w:type="dxa"/>
            </w:tcMar>
            <w:vAlign w:val="center"/>
          </w:tcPr>
          <w:p w14:paraId="6C0F3A02">
            <w:pPr>
              <w:spacing w:line="240" w:lineRule="auto"/>
              <w:rPr>
                <w:sz w:val="28"/>
                <w:szCs w:val="28"/>
              </w:rPr>
            </w:pPr>
            <w:r>
              <w:rPr>
                <w:rFonts w:ascii="方正黑体_GBK" w:hAnsi="方正黑体_GBK" w:eastAsia="方正黑体_GBK" w:cs="宋体"/>
                <w:sz w:val="20"/>
                <w:szCs w:val="24"/>
              </w:rPr>
              <w:t>022-96155、400-80-96155</w:t>
            </w:r>
          </w:p>
        </w:tc>
      </w:tr>
      <w:tr w14:paraId="1D580CC8">
        <w:trPr>
          <w:trHeight w:val="300" w:hRule="atLeast"/>
        </w:trPr>
        <w:tc>
          <w:tcPr>
            <w:tcW w:w="2100" w:type="dxa"/>
            <w:tcMar>
              <w:left w:w="120" w:type="dxa"/>
            </w:tcMar>
            <w:vAlign w:val="center"/>
          </w:tcPr>
          <w:p w14:paraId="13169456">
            <w:pPr>
              <w:spacing w:line="240" w:lineRule="auto"/>
              <w:rPr>
                <w:sz w:val="28"/>
                <w:szCs w:val="28"/>
              </w:rPr>
            </w:pPr>
            <w:r>
              <w:rPr>
                <w:rFonts w:ascii="方正黑体_GBK" w:hAnsi="方正黑体_GBK" w:eastAsia="方正黑体_GBK" w:cs="宋体"/>
                <w:sz w:val="20"/>
                <w:szCs w:val="24"/>
              </w:rPr>
              <w:t>江苏紫金农村商业银行股份有限公司</w:t>
            </w:r>
          </w:p>
        </w:tc>
        <w:tc>
          <w:tcPr>
            <w:tcW w:w="4050" w:type="dxa"/>
            <w:tcMar>
              <w:left w:w="120" w:type="dxa"/>
            </w:tcMar>
            <w:vAlign w:val="center"/>
          </w:tcPr>
          <w:p w14:paraId="670D2DC3">
            <w:pPr>
              <w:spacing w:line="240" w:lineRule="auto"/>
              <w:rPr>
                <w:sz w:val="28"/>
                <w:szCs w:val="28"/>
              </w:rPr>
            </w:pPr>
            <w:r>
              <w:rPr>
                <w:rFonts w:ascii="方正黑体_GBK" w:hAnsi="方正黑体_GBK" w:eastAsia="方正黑体_GBK" w:cs="宋体"/>
                <w:sz w:val="20"/>
                <w:szCs w:val="24"/>
              </w:rPr>
              <w:t>南京市建邺区江东中路381号</w:t>
            </w:r>
          </w:p>
        </w:tc>
        <w:tc>
          <w:tcPr>
            <w:tcW w:w="1350" w:type="dxa"/>
            <w:tcMar>
              <w:left w:w="120" w:type="dxa"/>
            </w:tcMar>
            <w:vAlign w:val="center"/>
          </w:tcPr>
          <w:p w14:paraId="2EADF66D">
            <w:pPr>
              <w:spacing w:line="240" w:lineRule="auto"/>
              <w:rPr>
                <w:sz w:val="28"/>
                <w:szCs w:val="28"/>
              </w:rPr>
            </w:pPr>
            <w:r>
              <w:rPr>
                <w:rFonts w:ascii="方正黑体_GBK" w:hAnsi="方正黑体_GBK" w:eastAsia="方正黑体_GBK" w:cs="宋体"/>
                <w:sz w:val="20"/>
                <w:szCs w:val="24"/>
              </w:rPr>
              <w:t>96008</w:t>
            </w:r>
          </w:p>
        </w:tc>
      </w:tr>
      <w:tr w14:paraId="27150035">
        <w:trPr>
          <w:trHeight w:val="300" w:hRule="atLeast"/>
        </w:trPr>
        <w:tc>
          <w:tcPr>
            <w:tcW w:w="2100" w:type="dxa"/>
            <w:tcMar>
              <w:left w:w="120" w:type="dxa"/>
            </w:tcMar>
            <w:vAlign w:val="center"/>
          </w:tcPr>
          <w:p w14:paraId="4D3E5D3C">
            <w:pPr>
              <w:spacing w:line="240" w:lineRule="auto"/>
              <w:rPr>
                <w:sz w:val="28"/>
                <w:szCs w:val="28"/>
              </w:rPr>
            </w:pPr>
            <w:r>
              <w:rPr>
                <w:rFonts w:ascii="方正黑体_GBK" w:hAnsi="方正黑体_GBK" w:eastAsia="方正黑体_GBK" w:cs="宋体"/>
                <w:sz w:val="20"/>
                <w:szCs w:val="24"/>
              </w:rPr>
              <w:t>温州银行股份有限公司</w:t>
            </w:r>
          </w:p>
        </w:tc>
        <w:tc>
          <w:tcPr>
            <w:tcW w:w="4050" w:type="dxa"/>
            <w:tcMar>
              <w:left w:w="120" w:type="dxa"/>
            </w:tcMar>
            <w:vAlign w:val="center"/>
          </w:tcPr>
          <w:p w14:paraId="757965CC">
            <w:pPr>
              <w:spacing w:line="240" w:lineRule="auto"/>
              <w:rPr>
                <w:sz w:val="28"/>
                <w:szCs w:val="28"/>
              </w:rPr>
            </w:pPr>
            <w:r>
              <w:rPr>
                <w:rFonts w:ascii="方正黑体_GBK" w:hAnsi="方正黑体_GBK" w:eastAsia="方正黑体_GBK" w:cs="宋体"/>
                <w:sz w:val="20"/>
                <w:szCs w:val="24"/>
              </w:rPr>
              <w:t>浙江省温州市鹿城区会展路1316号</w:t>
            </w:r>
          </w:p>
        </w:tc>
        <w:tc>
          <w:tcPr>
            <w:tcW w:w="1350" w:type="dxa"/>
            <w:tcMar>
              <w:left w:w="120" w:type="dxa"/>
            </w:tcMar>
            <w:vAlign w:val="center"/>
          </w:tcPr>
          <w:p w14:paraId="386AAA15">
            <w:pPr>
              <w:spacing w:line="240" w:lineRule="auto"/>
              <w:rPr>
                <w:sz w:val="28"/>
                <w:szCs w:val="28"/>
              </w:rPr>
            </w:pPr>
            <w:r>
              <w:rPr>
                <w:rFonts w:ascii="方正黑体_GBK" w:hAnsi="方正黑体_GBK" w:eastAsia="方正黑体_GBK" w:cs="宋体"/>
                <w:sz w:val="20"/>
                <w:szCs w:val="24"/>
              </w:rPr>
              <w:t>96699</w:t>
            </w:r>
          </w:p>
        </w:tc>
      </w:tr>
      <w:tr w14:paraId="4BA87D42">
        <w:trPr>
          <w:trHeight w:val="300" w:hRule="atLeast"/>
        </w:trPr>
        <w:tc>
          <w:tcPr>
            <w:tcW w:w="2100" w:type="dxa"/>
            <w:tcMar>
              <w:left w:w="120" w:type="dxa"/>
            </w:tcMar>
            <w:vAlign w:val="center"/>
          </w:tcPr>
          <w:p w14:paraId="2D0B333F">
            <w:pPr>
              <w:spacing w:line="240" w:lineRule="auto"/>
              <w:rPr>
                <w:sz w:val="28"/>
                <w:szCs w:val="28"/>
              </w:rPr>
            </w:pPr>
            <w:r>
              <w:rPr>
                <w:rFonts w:ascii="方正黑体_GBK" w:hAnsi="方正黑体_GBK" w:eastAsia="方正黑体_GBK" w:cs="宋体"/>
                <w:sz w:val="20"/>
                <w:szCs w:val="24"/>
              </w:rPr>
              <w:t>江苏滨海农村商业银行股份有限公司</w:t>
            </w:r>
          </w:p>
        </w:tc>
        <w:tc>
          <w:tcPr>
            <w:tcW w:w="4050" w:type="dxa"/>
            <w:tcMar>
              <w:left w:w="120" w:type="dxa"/>
            </w:tcMar>
            <w:vAlign w:val="center"/>
          </w:tcPr>
          <w:p w14:paraId="0FE3C27F">
            <w:pPr>
              <w:spacing w:line="240" w:lineRule="auto"/>
              <w:rPr>
                <w:sz w:val="28"/>
                <w:szCs w:val="28"/>
              </w:rPr>
            </w:pPr>
            <w:r>
              <w:rPr>
                <w:rFonts w:ascii="方正黑体_GBK" w:hAnsi="方正黑体_GBK" w:eastAsia="方正黑体_GBK" w:cs="宋体"/>
                <w:sz w:val="20"/>
                <w:szCs w:val="24"/>
              </w:rPr>
              <w:t>滨海县城迎宾中路1号</w:t>
            </w:r>
          </w:p>
        </w:tc>
        <w:tc>
          <w:tcPr>
            <w:tcW w:w="1350" w:type="dxa"/>
            <w:tcMar>
              <w:left w:w="120" w:type="dxa"/>
            </w:tcMar>
            <w:vAlign w:val="center"/>
          </w:tcPr>
          <w:p w14:paraId="10924BC4">
            <w:pPr>
              <w:spacing w:line="240" w:lineRule="auto"/>
              <w:rPr>
                <w:sz w:val="28"/>
                <w:szCs w:val="28"/>
              </w:rPr>
            </w:pPr>
            <w:r>
              <w:rPr>
                <w:rFonts w:ascii="方正黑体_GBK" w:hAnsi="方正黑体_GBK" w:eastAsia="方正黑体_GBK" w:cs="宋体"/>
                <w:sz w:val="20"/>
                <w:szCs w:val="24"/>
              </w:rPr>
              <w:t>96008</w:t>
            </w:r>
          </w:p>
        </w:tc>
      </w:tr>
      <w:tr w14:paraId="43AB3CD4">
        <w:trPr>
          <w:trHeight w:val="300" w:hRule="atLeast"/>
        </w:trPr>
        <w:tc>
          <w:tcPr>
            <w:tcW w:w="2100" w:type="dxa"/>
            <w:tcMar>
              <w:left w:w="120" w:type="dxa"/>
            </w:tcMar>
            <w:vAlign w:val="center"/>
          </w:tcPr>
          <w:p w14:paraId="4E522D33">
            <w:pPr>
              <w:spacing w:line="240" w:lineRule="auto"/>
              <w:rPr>
                <w:sz w:val="28"/>
                <w:szCs w:val="28"/>
              </w:rPr>
            </w:pPr>
            <w:r>
              <w:rPr>
                <w:rFonts w:ascii="方正黑体_GBK" w:hAnsi="方正黑体_GBK" w:eastAsia="方正黑体_GBK" w:cs="宋体"/>
                <w:sz w:val="20"/>
                <w:szCs w:val="24"/>
              </w:rPr>
              <w:t>江苏金湖农村商业银行股份有限公司</w:t>
            </w:r>
          </w:p>
        </w:tc>
        <w:tc>
          <w:tcPr>
            <w:tcW w:w="4050" w:type="dxa"/>
            <w:tcMar>
              <w:left w:w="120" w:type="dxa"/>
            </w:tcMar>
            <w:vAlign w:val="center"/>
          </w:tcPr>
          <w:p w14:paraId="39548A02">
            <w:pPr>
              <w:spacing w:line="240" w:lineRule="auto"/>
              <w:rPr>
                <w:sz w:val="28"/>
                <w:szCs w:val="28"/>
              </w:rPr>
            </w:pPr>
            <w:r>
              <w:rPr>
                <w:rFonts w:ascii="方正黑体_GBK" w:hAnsi="方正黑体_GBK" w:eastAsia="方正黑体_GBK" w:cs="宋体"/>
                <w:sz w:val="20"/>
                <w:szCs w:val="24"/>
              </w:rPr>
              <w:t>江苏省金湖县黎城街道神华大道299号</w:t>
            </w:r>
          </w:p>
        </w:tc>
        <w:tc>
          <w:tcPr>
            <w:tcW w:w="1350" w:type="dxa"/>
            <w:tcMar>
              <w:left w:w="120" w:type="dxa"/>
            </w:tcMar>
            <w:vAlign w:val="center"/>
          </w:tcPr>
          <w:p w14:paraId="713ABA0E">
            <w:pPr>
              <w:spacing w:line="240" w:lineRule="auto"/>
              <w:rPr>
                <w:sz w:val="28"/>
                <w:szCs w:val="28"/>
              </w:rPr>
            </w:pPr>
            <w:r>
              <w:rPr>
                <w:rFonts w:ascii="方正黑体_GBK" w:hAnsi="方正黑体_GBK" w:eastAsia="方正黑体_GBK" w:cs="宋体"/>
                <w:sz w:val="20"/>
                <w:szCs w:val="24"/>
              </w:rPr>
              <w:t>96008</w:t>
            </w:r>
          </w:p>
        </w:tc>
      </w:tr>
      <w:tr w14:paraId="6618F5EB">
        <w:trPr>
          <w:trHeight w:val="300" w:hRule="atLeast"/>
        </w:trPr>
        <w:tc>
          <w:tcPr>
            <w:tcW w:w="2100" w:type="dxa"/>
            <w:tcMar>
              <w:left w:w="120" w:type="dxa"/>
            </w:tcMar>
            <w:vAlign w:val="center"/>
          </w:tcPr>
          <w:p w14:paraId="2ABBFD64">
            <w:pPr>
              <w:spacing w:line="240" w:lineRule="auto"/>
              <w:rPr>
                <w:sz w:val="28"/>
                <w:szCs w:val="28"/>
              </w:rPr>
            </w:pPr>
            <w:r>
              <w:rPr>
                <w:rFonts w:ascii="方正黑体_GBK" w:hAnsi="方正黑体_GBK" w:eastAsia="方正黑体_GBK" w:cs="宋体"/>
                <w:sz w:val="20"/>
                <w:szCs w:val="24"/>
              </w:rPr>
              <w:t>苏州银行股份有限公司</w:t>
            </w:r>
          </w:p>
        </w:tc>
        <w:tc>
          <w:tcPr>
            <w:tcW w:w="4050" w:type="dxa"/>
            <w:tcMar>
              <w:left w:w="120" w:type="dxa"/>
            </w:tcMar>
            <w:vAlign w:val="center"/>
          </w:tcPr>
          <w:p w14:paraId="310DA933">
            <w:pPr>
              <w:spacing w:line="240" w:lineRule="auto"/>
              <w:rPr>
                <w:sz w:val="28"/>
                <w:szCs w:val="28"/>
              </w:rPr>
            </w:pPr>
            <w:r>
              <w:rPr>
                <w:rFonts w:ascii="方正黑体_GBK" w:hAnsi="方正黑体_GBK" w:eastAsia="方正黑体_GBK" w:cs="宋体"/>
                <w:sz w:val="20"/>
                <w:szCs w:val="24"/>
              </w:rPr>
              <w:t>中国（江苏）自由贸易试验区苏州片区苏州工业园区钟园路728号</w:t>
            </w:r>
          </w:p>
        </w:tc>
        <w:tc>
          <w:tcPr>
            <w:tcW w:w="1350" w:type="dxa"/>
            <w:tcMar>
              <w:left w:w="120" w:type="dxa"/>
            </w:tcMar>
            <w:vAlign w:val="center"/>
          </w:tcPr>
          <w:p w14:paraId="65556D1F">
            <w:pPr>
              <w:spacing w:line="240" w:lineRule="auto"/>
              <w:rPr>
                <w:sz w:val="28"/>
                <w:szCs w:val="28"/>
              </w:rPr>
            </w:pPr>
            <w:r>
              <w:rPr>
                <w:rFonts w:ascii="方正黑体_GBK" w:hAnsi="方正黑体_GBK" w:eastAsia="方正黑体_GBK" w:cs="宋体"/>
                <w:sz w:val="20"/>
                <w:szCs w:val="24"/>
              </w:rPr>
              <w:t>0512-96067</w:t>
            </w:r>
          </w:p>
        </w:tc>
      </w:tr>
      <w:tr w14:paraId="664B1EBB">
        <w:trPr>
          <w:trHeight w:val="300" w:hRule="atLeast"/>
        </w:trPr>
        <w:tc>
          <w:tcPr>
            <w:tcW w:w="2100" w:type="dxa"/>
            <w:tcMar>
              <w:left w:w="120" w:type="dxa"/>
            </w:tcMar>
            <w:vAlign w:val="center"/>
          </w:tcPr>
          <w:p w14:paraId="7250F2D6">
            <w:pPr>
              <w:spacing w:line="240" w:lineRule="auto"/>
              <w:rPr>
                <w:sz w:val="28"/>
                <w:szCs w:val="28"/>
              </w:rPr>
            </w:pPr>
            <w:r>
              <w:rPr>
                <w:rFonts w:ascii="方正黑体_GBK" w:hAnsi="方正黑体_GBK" w:eastAsia="方正黑体_GBK" w:cs="宋体"/>
                <w:sz w:val="20"/>
                <w:szCs w:val="24"/>
              </w:rPr>
              <w:t>蒙商银行股份有限公司</w:t>
            </w:r>
          </w:p>
        </w:tc>
        <w:tc>
          <w:tcPr>
            <w:tcW w:w="4050" w:type="dxa"/>
            <w:tcMar>
              <w:left w:w="120" w:type="dxa"/>
            </w:tcMar>
            <w:vAlign w:val="center"/>
          </w:tcPr>
          <w:p w14:paraId="2D05E1FD">
            <w:pPr>
              <w:spacing w:line="240" w:lineRule="auto"/>
              <w:rPr>
                <w:sz w:val="28"/>
                <w:szCs w:val="28"/>
              </w:rPr>
            </w:pPr>
            <w:r>
              <w:rPr>
                <w:rFonts w:ascii="方正黑体_GBK" w:hAnsi="方正黑体_GBK" w:eastAsia="方正黑体_GBK" w:cs="宋体"/>
                <w:sz w:val="20"/>
                <w:szCs w:val="24"/>
              </w:rPr>
              <w:t>内蒙古自治区包头市九原区赛汗街道办事处建华南路2号A座</w:t>
            </w:r>
          </w:p>
        </w:tc>
        <w:tc>
          <w:tcPr>
            <w:tcW w:w="1350" w:type="dxa"/>
            <w:tcMar>
              <w:left w:w="120" w:type="dxa"/>
            </w:tcMar>
            <w:vAlign w:val="center"/>
          </w:tcPr>
          <w:p w14:paraId="1BF79AAD">
            <w:pPr>
              <w:spacing w:line="240" w:lineRule="auto"/>
              <w:rPr>
                <w:sz w:val="28"/>
                <w:szCs w:val="28"/>
              </w:rPr>
            </w:pPr>
            <w:r>
              <w:rPr>
                <w:rFonts w:ascii="方正黑体_GBK" w:hAnsi="方正黑体_GBK" w:eastAsia="方正黑体_GBK" w:cs="宋体"/>
                <w:sz w:val="20"/>
                <w:szCs w:val="24"/>
              </w:rPr>
              <w:t>0472-2658888</w:t>
            </w:r>
          </w:p>
        </w:tc>
      </w:tr>
      <w:tr w14:paraId="049354F1">
        <w:trPr>
          <w:trHeight w:val="300" w:hRule="atLeast"/>
        </w:trPr>
        <w:tc>
          <w:tcPr>
            <w:tcW w:w="2100" w:type="dxa"/>
            <w:tcMar>
              <w:left w:w="120" w:type="dxa"/>
            </w:tcMar>
            <w:vAlign w:val="center"/>
          </w:tcPr>
          <w:p w14:paraId="0556E29F">
            <w:pPr>
              <w:spacing w:line="240" w:lineRule="auto"/>
              <w:rPr>
                <w:sz w:val="28"/>
                <w:szCs w:val="28"/>
              </w:rPr>
            </w:pPr>
            <w:r>
              <w:rPr>
                <w:rFonts w:ascii="方正黑体_GBK" w:hAnsi="方正黑体_GBK" w:eastAsia="方正黑体_GBK" w:cs="宋体"/>
                <w:sz w:val="20"/>
                <w:szCs w:val="24"/>
              </w:rPr>
              <w:t>江苏江南农村商业银行股份有限公司</w:t>
            </w:r>
          </w:p>
        </w:tc>
        <w:tc>
          <w:tcPr>
            <w:tcW w:w="4050" w:type="dxa"/>
            <w:tcMar>
              <w:left w:w="120" w:type="dxa"/>
            </w:tcMar>
            <w:vAlign w:val="center"/>
          </w:tcPr>
          <w:p w14:paraId="240B791D">
            <w:pPr>
              <w:spacing w:line="240" w:lineRule="auto"/>
              <w:rPr>
                <w:sz w:val="28"/>
                <w:szCs w:val="28"/>
              </w:rPr>
            </w:pPr>
            <w:r>
              <w:rPr>
                <w:rFonts w:ascii="方正黑体_GBK" w:hAnsi="方正黑体_GBK" w:eastAsia="方正黑体_GBK" w:cs="宋体"/>
                <w:sz w:val="20"/>
                <w:szCs w:val="24"/>
              </w:rPr>
              <w:t>常州市武进区延政中路9号</w:t>
            </w:r>
          </w:p>
        </w:tc>
        <w:tc>
          <w:tcPr>
            <w:tcW w:w="1350" w:type="dxa"/>
            <w:tcMar>
              <w:left w:w="120" w:type="dxa"/>
            </w:tcMar>
            <w:vAlign w:val="center"/>
          </w:tcPr>
          <w:p w14:paraId="47953490">
            <w:pPr>
              <w:spacing w:line="240" w:lineRule="auto"/>
              <w:rPr>
                <w:sz w:val="28"/>
                <w:szCs w:val="28"/>
              </w:rPr>
            </w:pPr>
            <w:r>
              <w:rPr>
                <w:rFonts w:ascii="方正黑体_GBK" w:hAnsi="方正黑体_GBK" w:eastAsia="方正黑体_GBK" w:cs="宋体"/>
                <w:sz w:val="20"/>
                <w:szCs w:val="24"/>
              </w:rPr>
              <w:t>0519-96005</w:t>
            </w:r>
          </w:p>
        </w:tc>
      </w:tr>
      <w:tr w14:paraId="1E24E2DC">
        <w:trPr>
          <w:trHeight w:val="300" w:hRule="atLeast"/>
        </w:trPr>
        <w:tc>
          <w:tcPr>
            <w:tcW w:w="2100" w:type="dxa"/>
            <w:tcMar>
              <w:left w:w="120" w:type="dxa"/>
            </w:tcMar>
            <w:vAlign w:val="center"/>
          </w:tcPr>
          <w:p w14:paraId="0FE9E1A1">
            <w:pPr>
              <w:spacing w:line="240" w:lineRule="auto"/>
              <w:rPr>
                <w:sz w:val="28"/>
                <w:szCs w:val="28"/>
              </w:rPr>
            </w:pPr>
            <w:r>
              <w:rPr>
                <w:rFonts w:ascii="方正黑体_GBK" w:hAnsi="方正黑体_GBK" w:eastAsia="方正黑体_GBK" w:cs="宋体"/>
                <w:sz w:val="20"/>
                <w:szCs w:val="24"/>
              </w:rPr>
              <w:t>桂林银行股份有限公司</w:t>
            </w:r>
          </w:p>
        </w:tc>
        <w:tc>
          <w:tcPr>
            <w:tcW w:w="4050" w:type="dxa"/>
            <w:tcMar>
              <w:left w:w="120" w:type="dxa"/>
            </w:tcMar>
            <w:vAlign w:val="center"/>
          </w:tcPr>
          <w:p w14:paraId="2386C7AE">
            <w:pPr>
              <w:spacing w:line="240" w:lineRule="auto"/>
              <w:rPr>
                <w:sz w:val="28"/>
                <w:szCs w:val="28"/>
              </w:rPr>
            </w:pPr>
            <w:r>
              <w:rPr>
                <w:rFonts w:ascii="方正黑体_GBK" w:hAnsi="方正黑体_GBK" w:eastAsia="方正黑体_GBK" w:cs="宋体"/>
                <w:sz w:val="20"/>
                <w:szCs w:val="24"/>
              </w:rPr>
              <w:t>广西壮族自治区桂林市临桂区公园北路 8 号桂林金融大厦</w:t>
            </w:r>
          </w:p>
        </w:tc>
        <w:tc>
          <w:tcPr>
            <w:tcW w:w="1350" w:type="dxa"/>
            <w:tcMar>
              <w:left w:w="120" w:type="dxa"/>
            </w:tcMar>
            <w:vAlign w:val="center"/>
          </w:tcPr>
          <w:p w14:paraId="683E34AF">
            <w:pPr>
              <w:spacing w:line="240" w:lineRule="auto"/>
              <w:rPr>
                <w:sz w:val="28"/>
                <w:szCs w:val="28"/>
              </w:rPr>
            </w:pPr>
            <w:r>
              <w:rPr>
                <w:rFonts w:ascii="方正黑体_GBK" w:hAnsi="方正黑体_GBK" w:eastAsia="方正黑体_GBK" w:cs="宋体"/>
                <w:sz w:val="20"/>
                <w:szCs w:val="24"/>
              </w:rPr>
              <w:t>400-86-96299</w:t>
            </w:r>
          </w:p>
        </w:tc>
      </w:tr>
      <w:tr w14:paraId="70D5A082">
        <w:trPr>
          <w:trHeight w:val="300" w:hRule="atLeast"/>
        </w:trPr>
        <w:tc>
          <w:tcPr>
            <w:tcW w:w="2100" w:type="dxa"/>
            <w:tcMar>
              <w:left w:w="120" w:type="dxa"/>
            </w:tcMar>
            <w:vAlign w:val="center"/>
          </w:tcPr>
          <w:p w14:paraId="26A3AADF">
            <w:pPr>
              <w:spacing w:line="240" w:lineRule="auto"/>
              <w:rPr>
                <w:sz w:val="28"/>
                <w:szCs w:val="28"/>
              </w:rPr>
            </w:pPr>
            <w:r>
              <w:rPr>
                <w:rFonts w:ascii="方正黑体_GBK" w:hAnsi="方正黑体_GBK" w:eastAsia="方正黑体_GBK" w:cs="宋体"/>
                <w:sz w:val="20"/>
                <w:szCs w:val="24"/>
              </w:rPr>
              <w:t>富邦华一银行有限公司</w:t>
            </w:r>
          </w:p>
        </w:tc>
        <w:tc>
          <w:tcPr>
            <w:tcW w:w="4050" w:type="dxa"/>
            <w:tcMar>
              <w:left w:w="120" w:type="dxa"/>
            </w:tcMar>
            <w:vAlign w:val="center"/>
          </w:tcPr>
          <w:p w14:paraId="0581E510">
            <w:pPr>
              <w:spacing w:line="240" w:lineRule="auto"/>
              <w:rPr>
                <w:sz w:val="28"/>
                <w:szCs w:val="28"/>
              </w:rPr>
            </w:pPr>
            <w:r>
              <w:rPr>
                <w:rFonts w:ascii="方正黑体_GBK" w:hAnsi="方正黑体_GBK" w:eastAsia="方正黑体_GBK" w:cs="宋体"/>
                <w:sz w:val="20"/>
                <w:szCs w:val="24"/>
              </w:rPr>
              <w:t>中国（上海）自由贸易试验区世纪大道1168号A座101室、18楼、19楼及20楼</w:t>
            </w:r>
          </w:p>
        </w:tc>
        <w:tc>
          <w:tcPr>
            <w:tcW w:w="1350" w:type="dxa"/>
            <w:tcMar>
              <w:left w:w="120" w:type="dxa"/>
            </w:tcMar>
            <w:vAlign w:val="center"/>
          </w:tcPr>
          <w:p w14:paraId="0C0A0BFE">
            <w:pPr>
              <w:spacing w:line="240" w:lineRule="auto"/>
              <w:rPr>
                <w:sz w:val="28"/>
                <w:szCs w:val="28"/>
              </w:rPr>
            </w:pPr>
            <w:r>
              <w:rPr>
                <w:rFonts w:ascii="方正黑体_GBK" w:hAnsi="方正黑体_GBK" w:eastAsia="方正黑体_GBK" w:cs="宋体"/>
                <w:sz w:val="20"/>
                <w:szCs w:val="24"/>
              </w:rPr>
              <w:t>021-962811</w:t>
            </w:r>
          </w:p>
        </w:tc>
      </w:tr>
      <w:tr w14:paraId="0518E4D7">
        <w:trPr>
          <w:trHeight w:val="300" w:hRule="atLeast"/>
        </w:trPr>
        <w:tc>
          <w:tcPr>
            <w:tcW w:w="2100" w:type="dxa"/>
            <w:tcMar>
              <w:left w:w="120" w:type="dxa"/>
            </w:tcMar>
            <w:vAlign w:val="center"/>
          </w:tcPr>
          <w:p w14:paraId="4FEADEB4">
            <w:pPr>
              <w:spacing w:line="240" w:lineRule="auto"/>
              <w:rPr>
                <w:sz w:val="28"/>
                <w:szCs w:val="28"/>
              </w:rPr>
            </w:pPr>
            <w:r>
              <w:rPr>
                <w:rFonts w:ascii="方正黑体_GBK" w:hAnsi="方正黑体_GBK" w:eastAsia="方正黑体_GBK" w:cs="宋体"/>
                <w:sz w:val="20"/>
                <w:szCs w:val="24"/>
              </w:rPr>
              <w:t>广州银行股份有限公司</w:t>
            </w:r>
          </w:p>
        </w:tc>
        <w:tc>
          <w:tcPr>
            <w:tcW w:w="4050" w:type="dxa"/>
            <w:tcMar>
              <w:left w:w="120" w:type="dxa"/>
            </w:tcMar>
            <w:vAlign w:val="center"/>
          </w:tcPr>
          <w:p w14:paraId="3AAD6060">
            <w:pPr>
              <w:spacing w:line="240" w:lineRule="auto"/>
              <w:rPr>
                <w:sz w:val="28"/>
                <w:szCs w:val="28"/>
              </w:rPr>
            </w:pPr>
            <w:r>
              <w:rPr>
                <w:rFonts w:ascii="方正黑体_GBK" w:hAnsi="方正黑体_GBK" w:eastAsia="方正黑体_GBK" w:cs="宋体"/>
                <w:sz w:val="20"/>
                <w:szCs w:val="24"/>
              </w:rPr>
              <w:t>广州市天河区珠江东路30号</w:t>
            </w:r>
          </w:p>
        </w:tc>
        <w:tc>
          <w:tcPr>
            <w:tcW w:w="1350" w:type="dxa"/>
            <w:tcMar>
              <w:left w:w="120" w:type="dxa"/>
            </w:tcMar>
            <w:vAlign w:val="center"/>
          </w:tcPr>
          <w:p w14:paraId="513CF5FB">
            <w:pPr>
              <w:spacing w:line="240" w:lineRule="auto"/>
              <w:rPr>
                <w:sz w:val="28"/>
                <w:szCs w:val="28"/>
              </w:rPr>
            </w:pPr>
            <w:r>
              <w:rPr>
                <w:rFonts w:ascii="方正黑体_GBK" w:hAnsi="方正黑体_GBK" w:eastAsia="方正黑体_GBK" w:cs="宋体"/>
                <w:sz w:val="20"/>
                <w:szCs w:val="24"/>
              </w:rPr>
              <w:t>400-83-96699</w:t>
            </w:r>
          </w:p>
        </w:tc>
      </w:tr>
      <w:tr w14:paraId="7968BFBF">
        <w:trPr>
          <w:trHeight w:val="300" w:hRule="atLeast"/>
        </w:trPr>
        <w:tc>
          <w:tcPr>
            <w:tcW w:w="2100" w:type="dxa"/>
            <w:tcMar>
              <w:left w:w="120" w:type="dxa"/>
            </w:tcMar>
            <w:vAlign w:val="center"/>
          </w:tcPr>
          <w:p w14:paraId="1FC2A293">
            <w:pPr>
              <w:spacing w:line="240" w:lineRule="auto"/>
              <w:rPr>
                <w:sz w:val="28"/>
                <w:szCs w:val="28"/>
              </w:rPr>
            </w:pPr>
            <w:r>
              <w:rPr>
                <w:rFonts w:ascii="方正黑体_GBK" w:hAnsi="方正黑体_GBK" w:eastAsia="方正黑体_GBK" w:cs="宋体"/>
                <w:sz w:val="20"/>
                <w:szCs w:val="24"/>
              </w:rPr>
              <w:t>无锡农村商业银行股份有限公司</w:t>
            </w:r>
          </w:p>
        </w:tc>
        <w:tc>
          <w:tcPr>
            <w:tcW w:w="4050" w:type="dxa"/>
            <w:tcMar>
              <w:left w:w="120" w:type="dxa"/>
            </w:tcMar>
            <w:vAlign w:val="center"/>
          </w:tcPr>
          <w:p w14:paraId="722E022D">
            <w:pPr>
              <w:spacing w:line="240" w:lineRule="auto"/>
              <w:rPr>
                <w:sz w:val="28"/>
                <w:szCs w:val="28"/>
              </w:rPr>
            </w:pPr>
            <w:r>
              <w:rPr>
                <w:rFonts w:ascii="方正黑体_GBK" w:hAnsi="方正黑体_GBK" w:eastAsia="方正黑体_GBK" w:cs="宋体"/>
                <w:sz w:val="20"/>
                <w:szCs w:val="24"/>
              </w:rPr>
              <w:t>江苏省无锡市锡山区延庆街11号、丹山路66-3、 66-1301、 66-1401号</w:t>
            </w:r>
          </w:p>
        </w:tc>
        <w:tc>
          <w:tcPr>
            <w:tcW w:w="1350" w:type="dxa"/>
            <w:tcMar>
              <w:left w:w="120" w:type="dxa"/>
            </w:tcMar>
            <w:vAlign w:val="center"/>
          </w:tcPr>
          <w:p w14:paraId="5DAE2F5E">
            <w:pPr>
              <w:spacing w:line="240" w:lineRule="auto"/>
              <w:rPr>
                <w:sz w:val="28"/>
                <w:szCs w:val="28"/>
              </w:rPr>
            </w:pPr>
            <w:r>
              <w:rPr>
                <w:rFonts w:ascii="方正黑体_GBK" w:hAnsi="方正黑体_GBK" w:eastAsia="方正黑体_GBK" w:cs="宋体"/>
                <w:sz w:val="20"/>
                <w:szCs w:val="24"/>
              </w:rPr>
              <w:t>0510-96058</w:t>
            </w:r>
          </w:p>
        </w:tc>
      </w:tr>
      <w:tr w14:paraId="2F38759F">
        <w:trPr>
          <w:trHeight w:val="300" w:hRule="atLeast"/>
        </w:trPr>
        <w:tc>
          <w:tcPr>
            <w:tcW w:w="2100" w:type="dxa"/>
            <w:tcMar>
              <w:left w:w="120" w:type="dxa"/>
            </w:tcMar>
            <w:vAlign w:val="center"/>
          </w:tcPr>
          <w:p w14:paraId="199F5069">
            <w:pPr>
              <w:spacing w:line="240" w:lineRule="auto"/>
              <w:rPr>
                <w:sz w:val="28"/>
                <w:szCs w:val="28"/>
              </w:rPr>
            </w:pPr>
            <w:r>
              <w:rPr>
                <w:rFonts w:ascii="方正黑体_GBK" w:hAnsi="方正黑体_GBK" w:eastAsia="方正黑体_GBK" w:cs="宋体"/>
                <w:sz w:val="20"/>
                <w:szCs w:val="24"/>
              </w:rPr>
              <w:t>石嘴山银行股份有限公司</w:t>
            </w:r>
          </w:p>
        </w:tc>
        <w:tc>
          <w:tcPr>
            <w:tcW w:w="4050" w:type="dxa"/>
            <w:tcMar>
              <w:left w:w="120" w:type="dxa"/>
            </w:tcMar>
            <w:vAlign w:val="center"/>
          </w:tcPr>
          <w:p w14:paraId="059C031B">
            <w:pPr>
              <w:spacing w:line="240" w:lineRule="auto"/>
              <w:rPr>
                <w:sz w:val="28"/>
                <w:szCs w:val="28"/>
              </w:rPr>
            </w:pPr>
            <w:r>
              <w:rPr>
                <w:rFonts w:ascii="方正黑体_GBK" w:hAnsi="方正黑体_GBK" w:eastAsia="方正黑体_GBK" w:cs="宋体"/>
                <w:sz w:val="20"/>
                <w:szCs w:val="24"/>
              </w:rPr>
              <w:t>宁夏回族自治区石嘴山市大武口区朝阳西街 39 号</w:t>
            </w:r>
          </w:p>
        </w:tc>
        <w:tc>
          <w:tcPr>
            <w:tcW w:w="1350" w:type="dxa"/>
            <w:tcMar>
              <w:left w:w="120" w:type="dxa"/>
            </w:tcMar>
            <w:vAlign w:val="center"/>
          </w:tcPr>
          <w:p w14:paraId="091BC116">
            <w:pPr>
              <w:spacing w:line="240" w:lineRule="auto"/>
              <w:rPr>
                <w:sz w:val="28"/>
                <w:szCs w:val="28"/>
              </w:rPr>
            </w:pPr>
            <w:r>
              <w:rPr>
                <w:rFonts w:ascii="方正黑体_GBK" w:hAnsi="方正黑体_GBK" w:eastAsia="方正黑体_GBK" w:cs="宋体"/>
                <w:sz w:val="20"/>
                <w:szCs w:val="24"/>
              </w:rPr>
              <w:t>0951-96789</w:t>
            </w:r>
          </w:p>
        </w:tc>
      </w:tr>
      <w:tr w14:paraId="262C131A">
        <w:trPr>
          <w:trHeight w:val="300" w:hRule="atLeast"/>
        </w:trPr>
        <w:tc>
          <w:tcPr>
            <w:tcW w:w="2100" w:type="dxa"/>
            <w:tcMar>
              <w:left w:w="120" w:type="dxa"/>
            </w:tcMar>
            <w:vAlign w:val="center"/>
          </w:tcPr>
          <w:p w14:paraId="2D79A3CE">
            <w:pPr>
              <w:spacing w:line="240" w:lineRule="auto"/>
              <w:rPr>
                <w:sz w:val="28"/>
                <w:szCs w:val="28"/>
              </w:rPr>
            </w:pPr>
            <w:r>
              <w:rPr>
                <w:rFonts w:ascii="方正黑体_GBK" w:hAnsi="方正黑体_GBK" w:eastAsia="方正黑体_GBK" w:cs="宋体"/>
                <w:sz w:val="20"/>
                <w:szCs w:val="24"/>
              </w:rPr>
              <w:t>无锡锡商银行股份有限公司</w:t>
            </w:r>
          </w:p>
        </w:tc>
        <w:tc>
          <w:tcPr>
            <w:tcW w:w="4050" w:type="dxa"/>
            <w:tcMar>
              <w:left w:w="120" w:type="dxa"/>
            </w:tcMar>
            <w:vAlign w:val="center"/>
          </w:tcPr>
          <w:p w14:paraId="7994087D">
            <w:pPr>
              <w:spacing w:line="240" w:lineRule="auto"/>
              <w:rPr>
                <w:sz w:val="28"/>
                <w:szCs w:val="28"/>
              </w:rPr>
            </w:pPr>
            <w:r>
              <w:rPr>
                <w:rFonts w:ascii="方正黑体_GBK" w:hAnsi="方正黑体_GBK" w:eastAsia="方正黑体_GBK" w:cs="宋体"/>
                <w:sz w:val="20"/>
                <w:szCs w:val="24"/>
              </w:rPr>
              <w:t>江苏省无锡市锡山区安镇街道东翔路578号红豆财富广场1-2层、5-11层</w:t>
            </w:r>
          </w:p>
        </w:tc>
        <w:tc>
          <w:tcPr>
            <w:tcW w:w="1350" w:type="dxa"/>
            <w:tcMar>
              <w:left w:w="120" w:type="dxa"/>
            </w:tcMar>
            <w:vAlign w:val="center"/>
          </w:tcPr>
          <w:p w14:paraId="44B197E1">
            <w:pPr>
              <w:spacing w:line="240" w:lineRule="auto"/>
              <w:rPr>
                <w:sz w:val="28"/>
                <w:szCs w:val="28"/>
              </w:rPr>
            </w:pPr>
            <w:r>
              <w:rPr>
                <w:rFonts w:ascii="方正黑体_GBK" w:hAnsi="方正黑体_GBK" w:eastAsia="方正黑体_GBK" w:cs="宋体"/>
                <w:sz w:val="20"/>
                <w:szCs w:val="24"/>
              </w:rPr>
              <w:t>400-888-0555</w:t>
            </w:r>
          </w:p>
        </w:tc>
      </w:tr>
      <w:tr w14:paraId="673B71F0">
        <w:trPr>
          <w:trHeight w:val="300" w:hRule="atLeast"/>
        </w:trPr>
        <w:tc>
          <w:tcPr>
            <w:tcW w:w="2100" w:type="dxa"/>
            <w:tcMar>
              <w:left w:w="120" w:type="dxa"/>
            </w:tcMar>
            <w:vAlign w:val="center"/>
          </w:tcPr>
          <w:p w14:paraId="35174D0D">
            <w:pPr>
              <w:spacing w:line="240" w:lineRule="auto"/>
              <w:rPr>
                <w:sz w:val="28"/>
                <w:szCs w:val="28"/>
              </w:rPr>
            </w:pPr>
            <w:r>
              <w:rPr>
                <w:rFonts w:ascii="方正黑体_GBK" w:hAnsi="方正黑体_GBK" w:eastAsia="方正黑体_GBK" w:cs="宋体"/>
                <w:sz w:val="20"/>
                <w:szCs w:val="24"/>
              </w:rPr>
              <w:t>江苏丹阳农村商业银行股份有限公司</w:t>
            </w:r>
          </w:p>
        </w:tc>
        <w:tc>
          <w:tcPr>
            <w:tcW w:w="4050" w:type="dxa"/>
            <w:tcMar>
              <w:left w:w="120" w:type="dxa"/>
            </w:tcMar>
            <w:vAlign w:val="center"/>
          </w:tcPr>
          <w:p w14:paraId="3BCF92E3">
            <w:pPr>
              <w:spacing w:line="240" w:lineRule="auto"/>
              <w:rPr>
                <w:sz w:val="28"/>
                <w:szCs w:val="28"/>
              </w:rPr>
            </w:pPr>
            <w:r>
              <w:rPr>
                <w:rFonts w:ascii="方正黑体_GBK" w:hAnsi="方正黑体_GBK" w:eastAsia="方正黑体_GBK" w:cs="宋体"/>
                <w:sz w:val="20"/>
                <w:szCs w:val="24"/>
              </w:rPr>
              <w:t>镇江市丹阳金陵西路152号</w:t>
            </w:r>
          </w:p>
        </w:tc>
        <w:tc>
          <w:tcPr>
            <w:tcW w:w="1350" w:type="dxa"/>
            <w:tcMar>
              <w:left w:w="120" w:type="dxa"/>
            </w:tcMar>
            <w:vAlign w:val="center"/>
          </w:tcPr>
          <w:p w14:paraId="3BD2698C">
            <w:pPr>
              <w:spacing w:line="240" w:lineRule="auto"/>
              <w:rPr>
                <w:sz w:val="28"/>
                <w:szCs w:val="28"/>
              </w:rPr>
            </w:pPr>
            <w:r>
              <w:rPr>
                <w:rFonts w:ascii="方正黑体_GBK" w:hAnsi="方正黑体_GBK" w:eastAsia="方正黑体_GBK" w:cs="宋体"/>
                <w:sz w:val="20"/>
                <w:szCs w:val="24"/>
              </w:rPr>
              <w:t>96008</w:t>
            </w:r>
          </w:p>
        </w:tc>
      </w:tr>
      <w:tr w14:paraId="49BE07C2">
        <w:trPr>
          <w:trHeight w:val="300" w:hRule="atLeast"/>
        </w:trPr>
        <w:tc>
          <w:tcPr>
            <w:tcW w:w="2100" w:type="dxa"/>
            <w:tcMar>
              <w:left w:w="120" w:type="dxa"/>
            </w:tcMar>
            <w:vAlign w:val="center"/>
          </w:tcPr>
          <w:p w14:paraId="4E2A10F0">
            <w:pPr>
              <w:spacing w:line="240" w:lineRule="auto"/>
              <w:rPr>
                <w:sz w:val="28"/>
                <w:szCs w:val="28"/>
              </w:rPr>
            </w:pPr>
            <w:r>
              <w:rPr>
                <w:rFonts w:ascii="方正黑体_GBK" w:hAnsi="方正黑体_GBK" w:eastAsia="方正黑体_GBK" w:cs="宋体"/>
                <w:sz w:val="20"/>
                <w:szCs w:val="24"/>
              </w:rPr>
              <w:t>江苏宜兴农村商业银行股份有限公司</w:t>
            </w:r>
          </w:p>
        </w:tc>
        <w:tc>
          <w:tcPr>
            <w:tcW w:w="4050" w:type="dxa"/>
            <w:tcMar>
              <w:left w:w="120" w:type="dxa"/>
            </w:tcMar>
            <w:vAlign w:val="center"/>
          </w:tcPr>
          <w:p w14:paraId="37E5CC1C">
            <w:pPr>
              <w:spacing w:line="240" w:lineRule="auto"/>
              <w:rPr>
                <w:sz w:val="28"/>
                <w:szCs w:val="28"/>
              </w:rPr>
            </w:pPr>
            <w:r>
              <w:rPr>
                <w:rFonts w:ascii="方正黑体_GBK" w:hAnsi="方正黑体_GBK" w:eastAsia="方正黑体_GBK" w:cs="宋体"/>
                <w:sz w:val="20"/>
                <w:szCs w:val="24"/>
              </w:rPr>
              <w:t>江苏省宜兴市宜城街道解放东路579号</w:t>
            </w:r>
          </w:p>
        </w:tc>
        <w:tc>
          <w:tcPr>
            <w:tcW w:w="1350" w:type="dxa"/>
            <w:tcMar>
              <w:left w:w="120" w:type="dxa"/>
            </w:tcMar>
            <w:vAlign w:val="center"/>
          </w:tcPr>
          <w:p w14:paraId="36226FFB">
            <w:pPr>
              <w:spacing w:line="240" w:lineRule="auto"/>
              <w:rPr>
                <w:sz w:val="28"/>
                <w:szCs w:val="28"/>
              </w:rPr>
            </w:pPr>
            <w:r>
              <w:rPr>
                <w:rFonts w:ascii="方正黑体_GBK" w:hAnsi="方正黑体_GBK" w:eastAsia="方正黑体_GBK" w:cs="宋体"/>
                <w:sz w:val="20"/>
                <w:szCs w:val="24"/>
              </w:rPr>
              <w:t>96008</w:t>
            </w:r>
          </w:p>
        </w:tc>
      </w:tr>
      <w:tr w14:paraId="06B37FD4">
        <w:trPr>
          <w:trHeight w:val="300" w:hRule="atLeast"/>
        </w:trPr>
        <w:tc>
          <w:tcPr>
            <w:tcW w:w="2100" w:type="dxa"/>
            <w:tcMar>
              <w:left w:w="120" w:type="dxa"/>
            </w:tcMar>
            <w:vAlign w:val="center"/>
          </w:tcPr>
          <w:p w14:paraId="5C235299">
            <w:pPr>
              <w:spacing w:line="240" w:lineRule="auto"/>
              <w:rPr>
                <w:sz w:val="28"/>
                <w:szCs w:val="28"/>
              </w:rPr>
            </w:pPr>
            <w:r>
              <w:rPr>
                <w:rFonts w:ascii="方正黑体_GBK" w:hAnsi="方正黑体_GBK" w:eastAsia="方正黑体_GBK" w:cs="宋体"/>
                <w:sz w:val="20"/>
                <w:szCs w:val="24"/>
              </w:rPr>
              <w:t>江苏高淳农村商业银行股份有限公司</w:t>
            </w:r>
          </w:p>
        </w:tc>
        <w:tc>
          <w:tcPr>
            <w:tcW w:w="4050" w:type="dxa"/>
            <w:tcMar>
              <w:left w:w="120" w:type="dxa"/>
            </w:tcMar>
            <w:vAlign w:val="center"/>
          </w:tcPr>
          <w:p w14:paraId="5C40F410">
            <w:pPr>
              <w:spacing w:line="240" w:lineRule="auto"/>
              <w:rPr>
                <w:sz w:val="28"/>
                <w:szCs w:val="28"/>
              </w:rPr>
            </w:pPr>
            <w:r>
              <w:rPr>
                <w:rFonts w:ascii="方正黑体_GBK" w:hAnsi="方正黑体_GBK" w:eastAsia="方正黑体_GBK" w:cs="宋体"/>
                <w:sz w:val="20"/>
                <w:szCs w:val="24"/>
              </w:rPr>
              <w:t>南京市高淳区淳溪镇宝塔路123号</w:t>
            </w:r>
          </w:p>
        </w:tc>
        <w:tc>
          <w:tcPr>
            <w:tcW w:w="1350" w:type="dxa"/>
            <w:tcMar>
              <w:left w:w="120" w:type="dxa"/>
            </w:tcMar>
            <w:vAlign w:val="center"/>
          </w:tcPr>
          <w:p w14:paraId="78403F11">
            <w:pPr>
              <w:spacing w:line="240" w:lineRule="auto"/>
              <w:rPr>
                <w:sz w:val="28"/>
                <w:szCs w:val="28"/>
              </w:rPr>
            </w:pPr>
            <w:r>
              <w:rPr>
                <w:rFonts w:ascii="方正黑体_GBK" w:hAnsi="方正黑体_GBK" w:eastAsia="方正黑体_GBK" w:cs="宋体"/>
                <w:sz w:val="20"/>
                <w:szCs w:val="24"/>
              </w:rPr>
              <w:t>96008</w:t>
            </w:r>
          </w:p>
        </w:tc>
      </w:tr>
      <w:tr w14:paraId="75459901">
        <w:trPr>
          <w:trHeight w:val="300" w:hRule="atLeast"/>
        </w:trPr>
        <w:tc>
          <w:tcPr>
            <w:tcW w:w="2100" w:type="dxa"/>
            <w:tcMar>
              <w:left w:w="120" w:type="dxa"/>
            </w:tcMar>
            <w:vAlign w:val="center"/>
          </w:tcPr>
          <w:p w14:paraId="34357735">
            <w:pPr>
              <w:spacing w:line="240" w:lineRule="auto"/>
              <w:rPr>
                <w:sz w:val="28"/>
                <w:szCs w:val="28"/>
              </w:rPr>
            </w:pPr>
            <w:r>
              <w:rPr>
                <w:rFonts w:ascii="方正黑体_GBK" w:hAnsi="方正黑体_GBK" w:eastAsia="方正黑体_GBK" w:cs="宋体"/>
                <w:sz w:val="20"/>
                <w:szCs w:val="24"/>
              </w:rPr>
              <w:t>江苏泰兴农村商业银行股份有限公司</w:t>
            </w:r>
          </w:p>
        </w:tc>
        <w:tc>
          <w:tcPr>
            <w:tcW w:w="4050" w:type="dxa"/>
            <w:tcMar>
              <w:left w:w="120" w:type="dxa"/>
            </w:tcMar>
            <w:vAlign w:val="center"/>
          </w:tcPr>
          <w:p w14:paraId="024C605E">
            <w:pPr>
              <w:spacing w:line="240" w:lineRule="auto"/>
              <w:rPr>
                <w:sz w:val="28"/>
                <w:szCs w:val="28"/>
              </w:rPr>
            </w:pPr>
            <w:r>
              <w:rPr>
                <w:rFonts w:ascii="方正黑体_GBK" w:hAnsi="方正黑体_GBK" w:eastAsia="方正黑体_GBK" w:cs="宋体"/>
                <w:sz w:val="20"/>
                <w:szCs w:val="24"/>
              </w:rPr>
              <w:t>泰兴市国庆东路166号</w:t>
            </w:r>
          </w:p>
        </w:tc>
        <w:tc>
          <w:tcPr>
            <w:tcW w:w="1350" w:type="dxa"/>
            <w:tcMar>
              <w:left w:w="120" w:type="dxa"/>
            </w:tcMar>
            <w:vAlign w:val="center"/>
          </w:tcPr>
          <w:p w14:paraId="095FB838">
            <w:pPr>
              <w:spacing w:line="240" w:lineRule="auto"/>
              <w:rPr>
                <w:sz w:val="28"/>
                <w:szCs w:val="28"/>
              </w:rPr>
            </w:pPr>
            <w:r>
              <w:rPr>
                <w:rFonts w:ascii="方正黑体_GBK" w:hAnsi="方正黑体_GBK" w:eastAsia="方正黑体_GBK" w:cs="宋体"/>
                <w:sz w:val="20"/>
                <w:szCs w:val="24"/>
              </w:rPr>
              <w:t>96008</w:t>
            </w:r>
          </w:p>
        </w:tc>
      </w:tr>
      <w:tr w14:paraId="1A656C32">
        <w:trPr>
          <w:trHeight w:val="300" w:hRule="atLeast"/>
        </w:trPr>
        <w:tc>
          <w:tcPr>
            <w:tcW w:w="2100" w:type="dxa"/>
            <w:tcMar>
              <w:left w:w="120" w:type="dxa"/>
            </w:tcMar>
            <w:vAlign w:val="center"/>
          </w:tcPr>
          <w:p w14:paraId="65A27B16">
            <w:pPr>
              <w:spacing w:line="240" w:lineRule="auto"/>
              <w:rPr>
                <w:sz w:val="28"/>
                <w:szCs w:val="28"/>
              </w:rPr>
            </w:pPr>
            <w:r>
              <w:rPr>
                <w:rFonts w:ascii="方正黑体_GBK" w:hAnsi="方正黑体_GBK" w:eastAsia="方正黑体_GBK" w:cs="宋体"/>
                <w:sz w:val="20"/>
                <w:szCs w:val="24"/>
              </w:rPr>
              <w:t>江苏响水农村商业银行股份有限公司</w:t>
            </w:r>
          </w:p>
        </w:tc>
        <w:tc>
          <w:tcPr>
            <w:tcW w:w="4050" w:type="dxa"/>
            <w:tcMar>
              <w:left w:w="120" w:type="dxa"/>
            </w:tcMar>
            <w:vAlign w:val="center"/>
          </w:tcPr>
          <w:p w14:paraId="0BA7343A">
            <w:pPr>
              <w:spacing w:line="240" w:lineRule="auto"/>
              <w:rPr>
                <w:sz w:val="28"/>
                <w:szCs w:val="28"/>
              </w:rPr>
            </w:pPr>
            <w:r>
              <w:rPr>
                <w:rFonts w:ascii="方正黑体_GBK" w:hAnsi="方正黑体_GBK" w:eastAsia="方正黑体_GBK" w:cs="宋体"/>
                <w:sz w:val="20"/>
                <w:szCs w:val="24"/>
              </w:rPr>
              <w:t>江苏省响水县双园东路北侧</w:t>
            </w:r>
          </w:p>
        </w:tc>
        <w:tc>
          <w:tcPr>
            <w:tcW w:w="1350" w:type="dxa"/>
            <w:tcMar>
              <w:left w:w="120" w:type="dxa"/>
            </w:tcMar>
            <w:vAlign w:val="center"/>
          </w:tcPr>
          <w:p w14:paraId="72579098">
            <w:pPr>
              <w:spacing w:line="240" w:lineRule="auto"/>
              <w:rPr>
                <w:sz w:val="28"/>
                <w:szCs w:val="28"/>
              </w:rPr>
            </w:pPr>
            <w:r>
              <w:rPr>
                <w:rFonts w:ascii="方正黑体_GBK" w:hAnsi="方正黑体_GBK" w:eastAsia="方正黑体_GBK" w:cs="宋体"/>
                <w:sz w:val="20"/>
                <w:szCs w:val="24"/>
              </w:rPr>
              <w:t>96008</w:t>
            </w:r>
          </w:p>
        </w:tc>
      </w:tr>
      <w:tr w14:paraId="4A1D4529">
        <w:trPr>
          <w:trHeight w:val="300" w:hRule="atLeast"/>
        </w:trPr>
        <w:tc>
          <w:tcPr>
            <w:tcW w:w="2100" w:type="dxa"/>
            <w:tcMar>
              <w:left w:w="120" w:type="dxa"/>
            </w:tcMar>
            <w:vAlign w:val="center"/>
          </w:tcPr>
          <w:p w14:paraId="64A1497E">
            <w:pPr>
              <w:spacing w:line="240" w:lineRule="auto"/>
              <w:rPr>
                <w:sz w:val="28"/>
                <w:szCs w:val="28"/>
              </w:rPr>
            </w:pPr>
            <w:r>
              <w:rPr>
                <w:rFonts w:ascii="方正黑体_GBK" w:hAnsi="方正黑体_GBK" w:eastAsia="方正黑体_GBK" w:cs="宋体"/>
                <w:sz w:val="20"/>
                <w:szCs w:val="24"/>
              </w:rPr>
              <w:t>江苏靖江农村商业银行股份有限公司</w:t>
            </w:r>
          </w:p>
        </w:tc>
        <w:tc>
          <w:tcPr>
            <w:tcW w:w="4050" w:type="dxa"/>
            <w:tcMar>
              <w:left w:w="120" w:type="dxa"/>
            </w:tcMar>
            <w:vAlign w:val="center"/>
          </w:tcPr>
          <w:p w14:paraId="2F7DB3D7">
            <w:pPr>
              <w:spacing w:line="240" w:lineRule="auto"/>
              <w:rPr>
                <w:sz w:val="28"/>
                <w:szCs w:val="28"/>
              </w:rPr>
            </w:pPr>
            <w:r>
              <w:rPr>
                <w:rFonts w:ascii="方正黑体_GBK" w:hAnsi="方正黑体_GBK" w:eastAsia="方正黑体_GBK" w:cs="宋体"/>
                <w:sz w:val="20"/>
                <w:szCs w:val="24"/>
              </w:rPr>
              <w:t>江苏省靖江市南环西路12号</w:t>
            </w:r>
          </w:p>
        </w:tc>
        <w:tc>
          <w:tcPr>
            <w:tcW w:w="1350" w:type="dxa"/>
            <w:tcMar>
              <w:left w:w="120" w:type="dxa"/>
            </w:tcMar>
            <w:vAlign w:val="center"/>
          </w:tcPr>
          <w:p w14:paraId="78F0201F">
            <w:pPr>
              <w:spacing w:line="240" w:lineRule="auto"/>
              <w:rPr>
                <w:sz w:val="28"/>
                <w:szCs w:val="28"/>
              </w:rPr>
            </w:pPr>
            <w:r>
              <w:rPr>
                <w:rFonts w:ascii="方正黑体_GBK" w:hAnsi="方正黑体_GBK" w:eastAsia="方正黑体_GBK" w:cs="宋体"/>
                <w:sz w:val="20"/>
                <w:szCs w:val="24"/>
              </w:rPr>
              <w:t>96008</w:t>
            </w:r>
          </w:p>
        </w:tc>
      </w:tr>
      <w:tr w14:paraId="0AF3E472">
        <w:trPr>
          <w:trHeight w:val="300" w:hRule="atLeast"/>
        </w:trPr>
        <w:tc>
          <w:tcPr>
            <w:tcW w:w="2100" w:type="dxa"/>
            <w:tcMar>
              <w:left w:w="120" w:type="dxa"/>
            </w:tcMar>
            <w:vAlign w:val="center"/>
          </w:tcPr>
          <w:p w14:paraId="6DF2F4BA">
            <w:pPr>
              <w:spacing w:line="240" w:lineRule="auto"/>
              <w:rPr>
                <w:sz w:val="28"/>
                <w:szCs w:val="28"/>
              </w:rPr>
            </w:pPr>
            <w:r>
              <w:rPr>
                <w:rFonts w:ascii="方正黑体_GBK" w:hAnsi="方正黑体_GBK" w:eastAsia="方正黑体_GBK" w:cs="宋体"/>
                <w:sz w:val="20"/>
                <w:szCs w:val="24"/>
              </w:rPr>
              <w:t>江苏新沂农村商业银行股份有限公司</w:t>
            </w:r>
          </w:p>
        </w:tc>
        <w:tc>
          <w:tcPr>
            <w:tcW w:w="4050" w:type="dxa"/>
            <w:tcMar>
              <w:left w:w="120" w:type="dxa"/>
            </w:tcMar>
            <w:vAlign w:val="center"/>
          </w:tcPr>
          <w:p w14:paraId="4D6EE339">
            <w:pPr>
              <w:spacing w:line="240" w:lineRule="auto"/>
              <w:rPr>
                <w:sz w:val="28"/>
                <w:szCs w:val="28"/>
              </w:rPr>
            </w:pPr>
            <w:r>
              <w:rPr>
                <w:rFonts w:ascii="方正黑体_GBK" w:hAnsi="方正黑体_GBK" w:eastAsia="方正黑体_GBK" w:cs="宋体"/>
                <w:sz w:val="20"/>
                <w:szCs w:val="24"/>
              </w:rPr>
              <w:t>江苏省新沂市钟吾路163号</w:t>
            </w:r>
          </w:p>
        </w:tc>
        <w:tc>
          <w:tcPr>
            <w:tcW w:w="1350" w:type="dxa"/>
            <w:tcMar>
              <w:left w:w="120" w:type="dxa"/>
            </w:tcMar>
            <w:vAlign w:val="center"/>
          </w:tcPr>
          <w:p w14:paraId="7F7DA581">
            <w:pPr>
              <w:spacing w:line="240" w:lineRule="auto"/>
              <w:rPr>
                <w:sz w:val="28"/>
                <w:szCs w:val="28"/>
              </w:rPr>
            </w:pPr>
            <w:r>
              <w:rPr>
                <w:rFonts w:ascii="方正黑体_GBK" w:hAnsi="方正黑体_GBK" w:eastAsia="方正黑体_GBK" w:cs="宋体"/>
                <w:sz w:val="20"/>
                <w:szCs w:val="24"/>
              </w:rPr>
              <w:t>96008</w:t>
            </w:r>
          </w:p>
        </w:tc>
      </w:tr>
      <w:tr w14:paraId="341054D4">
        <w:trPr>
          <w:trHeight w:val="300" w:hRule="atLeast"/>
        </w:trPr>
        <w:tc>
          <w:tcPr>
            <w:tcW w:w="2100" w:type="dxa"/>
            <w:tcMar>
              <w:left w:w="120" w:type="dxa"/>
            </w:tcMar>
            <w:vAlign w:val="center"/>
          </w:tcPr>
          <w:p w14:paraId="670B988C">
            <w:pPr>
              <w:spacing w:line="240" w:lineRule="auto"/>
              <w:rPr>
                <w:sz w:val="28"/>
                <w:szCs w:val="28"/>
              </w:rPr>
            </w:pPr>
            <w:r>
              <w:rPr>
                <w:rFonts w:ascii="方正黑体_GBK" w:hAnsi="方正黑体_GBK" w:eastAsia="方正黑体_GBK" w:cs="宋体"/>
                <w:sz w:val="20"/>
                <w:szCs w:val="24"/>
              </w:rPr>
              <w:t>江苏邳州农村商业银行股份有限公司</w:t>
            </w:r>
          </w:p>
        </w:tc>
        <w:tc>
          <w:tcPr>
            <w:tcW w:w="4050" w:type="dxa"/>
            <w:tcMar>
              <w:left w:w="120" w:type="dxa"/>
            </w:tcMar>
            <w:vAlign w:val="center"/>
          </w:tcPr>
          <w:p w14:paraId="4ECC7D72">
            <w:pPr>
              <w:spacing w:line="240" w:lineRule="auto"/>
              <w:rPr>
                <w:sz w:val="28"/>
                <w:szCs w:val="28"/>
              </w:rPr>
            </w:pPr>
            <w:r>
              <w:rPr>
                <w:rFonts w:ascii="方正黑体_GBK" w:hAnsi="方正黑体_GBK" w:eastAsia="方正黑体_GBK" w:cs="宋体"/>
                <w:sz w:val="20"/>
                <w:szCs w:val="24"/>
              </w:rPr>
              <w:t>江苏省邳州市建设中路16号</w:t>
            </w:r>
          </w:p>
        </w:tc>
        <w:tc>
          <w:tcPr>
            <w:tcW w:w="1350" w:type="dxa"/>
            <w:tcMar>
              <w:left w:w="120" w:type="dxa"/>
            </w:tcMar>
            <w:vAlign w:val="center"/>
          </w:tcPr>
          <w:p w14:paraId="430E75EE">
            <w:pPr>
              <w:spacing w:line="240" w:lineRule="auto"/>
              <w:rPr>
                <w:sz w:val="28"/>
                <w:szCs w:val="28"/>
              </w:rPr>
            </w:pPr>
            <w:r>
              <w:rPr>
                <w:rFonts w:ascii="方正黑体_GBK" w:hAnsi="方正黑体_GBK" w:eastAsia="方正黑体_GBK" w:cs="宋体"/>
                <w:sz w:val="20"/>
                <w:szCs w:val="24"/>
              </w:rPr>
              <w:t>96008</w:t>
            </w:r>
          </w:p>
        </w:tc>
      </w:tr>
      <w:tr w14:paraId="10C61CDB">
        <w:trPr>
          <w:trHeight w:val="300" w:hRule="atLeast"/>
        </w:trPr>
        <w:tc>
          <w:tcPr>
            <w:tcW w:w="2100" w:type="dxa"/>
            <w:tcMar>
              <w:left w:w="120" w:type="dxa"/>
            </w:tcMar>
            <w:vAlign w:val="center"/>
          </w:tcPr>
          <w:p w14:paraId="2C32B703">
            <w:pPr>
              <w:spacing w:line="240" w:lineRule="auto"/>
              <w:rPr>
                <w:sz w:val="28"/>
                <w:szCs w:val="28"/>
              </w:rPr>
            </w:pPr>
            <w:r>
              <w:rPr>
                <w:rFonts w:ascii="方正黑体_GBK" w:hAnsi="方正黑体_GBK" w:eastAsia="方正黑体_GBK" w:cs="宋体"/>
                <w:sz w:val="20"/>
                <w:szCs w:val="24"/>
              </w:rPr>
              <w:t>江苏民丰农村商业银行股份有限公司</w:t>
            </w:r>
          </w:p>
        </w:tc>
        <w:tc>
          <w:tcPr>
            <w:tcW w:w="4050" w:type="dxa"/>
            <w:tcMar>
              <w:left w:w="120" w:type="dxa"/>
            </w:tcMar>
            <w:vAlign w:val="center"/>
          </w:tcPr>
          <w:p w14:paraId="6A300423">
            <w:pPr>
              <w:spacing w:line="240" w:lineRule="auto"/>
              <w:rPr>
                <w:sz w:val="28"/>
                <w:szCs w:val="28"/>
              </w:rPr>
            </w:pPr>
            <w:r>
              <w:rPr>
                <w:rFonts w:ascii="方正黑体_GBK" w:hAnsi="方正黑体_GBK" w:eastAsia="方正黑体_GBK" w:cs="宋体"/>
                <w:sz w:val="20"/>
                <w:szCs w:val="24"/>
              </w:rPr>
              <w:t>江苏省宿迁市宿城区高宝湖路1号</w:t>
            </w:r>
          </w:p>
        </w:tc>
        <w:tc>
          <w:tcPr>
            <w:tcW w:w="1350" w:type="dxa"/>
            <w:tcMar>
              <w:left w:w="120" w:type="dxa"/>
            </w:tcMar>
            <w:vAlign w:val="center"/>
          </w:tcPr>
          <w:p w14:paraId="22A5DBA0">
            <w:pPr>
              <w:spacing w:line="240" w:lineRule="auto"/>
              <w:rPr>
                <w:sz w:val="28"/>
                <w:szCs w:val="28"/>
              </w:rPr>
            </w:pPr>
            <w:r>
              <w:rPr>
                <w:rFonts w:ascii="方正黑体_GBK" w:hAnsi="方正黑体_GBK" w:eastAsia="方正黑体_GBK" w:cs="宋体"/>
                <w:sz w:val="20"/>
                <w:szCs w:val="24"/>
              </w:rPr>
              <w:t>96008</w:t>
            </w:r>
          </w:p>
        </w:tc>
      </w:tr>
      <w:tr w14:paraId="5C542067">
        <w:trPr>
          <w:trHeight w:val="300" w:hRule="atLeast"/>
        </w:trPr>
        <w:tc>
          <w:tcPr>
            <w:tcW w:w="2100" w:type="dxa"/>
            <w:tcMar>
              <w:left w:w="120" w:type="dxa"/>
            </w:tcMar>
            <w:vAlign w:val="center"/>
          </w:tcPr>
          <w:p w14:paraId="349A8B90">
            <w:pPr>
              <w:spacing w:line="240" w:lineRule="auto"/>
              <w:rPr>
                <w:sz w:val="28"/>
                <w:szCs w:val="28"/>
              </w:rPr>
            </w:pPr>
            <w:r>
              <w:rPr>
                <w:rFonts w:ascii="方正黑体_GBK" w:hAnsi="方正黑体_GBK" w:eastAsia="方正黑体_GBK" w:cs="宋体"/>
                <w:sz w:val="20"/>
                <w:szCs w:val="24"/>
              </w:rPr>
              <w:t>江苏建湖农村商业银行股份有限公司</w:t>
            </w:r>
          </w:p>
        </w:tc>
        <w:tc>
          <w:tcPr>
            <w:tcW w:w="4050" w:type="dxa"/>
            <w:tcMar>
              <w:left w:w="120" w:type="dxa"/>
            </w:tcMar>
            <w:vAlign w:val="center"/>
          </w:tcPr>
          <w:p w14:paraId="3A4FA5E8">
            <w:pPr>
              <w:spacing w:line="240" w:lineRule="auto"/>
              <w:rPr>
                <w:sz w:val="28"/>
                <w:szCs w:val="28"/>
              </w:rPr>
            </w:pPr>
            <w:r>
              <w:rPr>
                <w:rFonts w:ascii="方正黑体_GBK" w:hAnsi="方正黑体_GBK" w:eastAsia="方正黑体_GBK" w:cs="宋体"/>
                <w:sz w:val="20"/>
                <w:szCs w:val="24"/>
              </w:rPr>
              <w:t>江苏省建湖县湖中南路958号</w:t>
            </w:r>
          </w:p>
        </w:tc>
        <w:tc>
          <w:tcPr>
            <w:tcW w:w="1350" w:type="dxa"/>
            <w:tcMar>
              <w:left w:w="120" w:type="dxa"/>
            </w:tcMar>
            <w:vAlign w:val="center"/>
          </w:tcPr>
          <w:p w14:paraId="7884310C">
            <w:pPr>
              <w:spacing w:line="240" w:lineRule="auto"/>
              <w:rPr>
                <w:sz w:val="28"/>
                <w:szCs w:val="28"/>
              </w:rPr>
            </w:pPr>
            <w:r>
              <w:rPr>
                <w:rFonts w:ascii="方正黑体_GBK" w:hAnsi="方正黑体_GBK" w:eastAsia="方正黑体_GBK" w:cs="宋体"/>
                <w:sz w:val="20"/>
                <w:szCs w:val="24"/>
              </w:rPr>
              <w:t>96008</w:t>
            </w:r>
          </w:p>
        </w:tc>
      </w:tr>
      <w:tr w14:paraId="02292587">
        <w:trPr>
          <w:trHeight w:val="300" w:hRule="atLeast"/>
        </w:trPr>
        <w:tc>
          <w:tcPr>
            <w:tcW w:w="2100" w:type="dxa"/>
            <w:tcMar>
              <w:left w:w="120" w:type="dxa"/>
            </w:tcMar>
            <w:vAlign w:val="center"/>
          </w:tcPr>
          <w:p w14:paraId="354D4A15">
            <w:pPr>
              <w:spacing w:line="240" w:lineRule="auto"/>
              <w:rPr>
                <w:sz w:val="28"/>
                <w:szCs w:val="28"/>
              </w:rPr>
            </w:pPr>
            <w:r>
              <w:rPr>
                <w:rFonts w:ascii="方正黑体_GBK" w:hAnsi="方正黑体_GBK" w:eastAsia="方正黑体_GBK" w:cs="宋体"/>
                <w:sz w:val="20"/>
                <w:szCs w:val="24"/>
              </w:rPr>
              <w:t>江苏东台农村商业银行股份有限公司</w:t>
            </w:r>
          </w:p>
        </w:tc>
        <w:tc>
          <w:tcPr>
            <w:tcW w:w="4050" w:type="dxa"/>
            <w:tcMar>
              <w:left w:w="120" w:type="dxa"/>
            </w:tcMar>
            <w:vAlign w:val="center"/>
          </w:tcPr>
          <w:p w14:paraId="6FD48B14">
            <w:pPr>
              <w:spacing w:line="240" w:lineRule="auto"/>
              <w:rPr>
                <w:sz w:val="28"/>
                <w:szCs w:val="28"/>
              </w:rPr>
            </w:pPr>
            <w:r>
              <w:rPr>
                <w:rFonts w:ascii="方正黑体_GBK" w:hAnsi="方正黑体_GBK" w:eastAsia="方正黑体_GBK" w:cs="宋体"/>
                <w:sz w:val="20"/>
                <w:szCs w:val="24"/>
              </w:rPr>
              <w:t>东台市东城大道10号</w:t>
            </w:r>
          </w:p>
        </w:tc>
        <w:tc>
          <w:tcPr>
            <w:tcW w:w="1350" w:type="dxa"/>
            <w:tcMar>
              <w:left w:w="120" w:type="dxa"/>
            </w:tcMar>
            <w:vAlign w:val="center"/>
          </w:tcPr>
          <w:p w14:paraId="713B522C">
            <w:pPr>
              <w:spacing w:line="240" w:lineRule="auto"/>
              <w:rPr>
                <w:sz w:val="28"/>
                <w:szCs w:val="28"/>
              </w:rPr>
            </w:pPr>
            <w:r>
              <w:rPr>
                <w:rFonts w:ascii="方正黑体_GBK" w:hAnsi="方正黑体_GBK" w:eastAsia="方正黑体_GBK" w:cs="宋体"/>
                <w:sz w:val="20"/>
                <w:szCs w:val="24"/>
              </w:rPr>
              <w:t>96008</w:t>
            </w:r>
          </w:p>
        </w:tc>
      </w:tr>
      <w:tr w14:paraId="452BDC45">
        <w:trPr>
          <w:trHeight w:val="300" w:hRule="atLeast"/>
        </w:trPr>
        <w:tc>
          <w:tcPr>
            <w:tcW w:w="2100" w:type="dxa"/>
            <w:tcMar>
              <w:left w:w="120" w:type="dxa"/>
            </w:tcMar>
            <w:vAlign w:val="center"/>
          </w:tcPr>
          <w:p w14:paraId="04C7EA0F">
            <w:pPr>
              <w:spacing w:line="240" w:lineRule="auto"/>
              <w:rPr>
                <w:sz w:val="28"/>
                <w:szCs w:val="28"/>
              </w:rPr>
            </w:pPr>
            <w:r>
              <w:rPr>
                <w:rFonts w:ascii="方正黑体_GBK" w:hAnsi="方正黑体_GBK" w:eastAsia="方正黑体_GBK" w:cs="宋体"/>
                <w:sz w:val="20"/>
                <w:szCs w:val="24"/>
              </w:rPr>
              <w:t>江苏溧水农村商业银行股份有限公司</w:t>
            </w:r>
          </w:p>
        </w:tc>
        <w:tc>
          <w:tcPr>
            <w:tcW w:w="4050" w:type="dxa"/>
            <w:tcMar>
              <w:left w:w="120" w:type="dxa"/>
            </w:tcMar>
            <w:vAlign w:val="center"/>
          </w:tcPr>
          <w:p w14:paraId="1970E725">
            <w:pPr>
              <w:spacing w:line="240" w:lineRule="auto"/>
              <w:rPr>
                <w:sz w:val="28"/>
                <w:szCs w:val="28"/>
              </w:rPr>
            </w:pPr>
            <w:r>
              <w:rPr>
                <w:rFonts w:ascii="方正黑体_GBK" w:hAnsi="方正黑体_GBK" w:eastAsia="方正黑体_GBK" w:cs="宋体"/>
                <w:sz w:val="20"/>
                <w:szCs w:val="24"/>
              </w:rPr>
              <w:t>南京市溧水区永阳街道中山路22号</w:t>
            </w:r>
          </w:p>
        </w:tc>
        <w:tc>
          <w:tcPr>
            <w:tcW w:w="1350" w:type="dxa"/>
            <w:tcMar>
              <w:left w:w="120" w:type="dxa"/>
            </w:tcMar>
            <w:vAlign w:val="center"/>
          </w:tcPr>
          <w:p w14:paraId="04653E53">
            <w:pPr>
              <w:spacing w:line="240" w:lineRule="auto"/>
              <w:rPr>
                <w:sz w:val="28"/>
                <w:szCs w:val="28"/>
              </w:rPr>
            </w:pPr>
            <w:r>
              <w:rPr>
                <w:rFonts w:ascii="方正黑体_GBK" w:hAnsi="方正黑体_GBK" w:eastAsia="方正黑体_GBK" w:cs="宋体"/>
                <w:sz w:val="20"/>
                <w:szCs w:val="24"/>
              </w:rPr>
              <w:t>96008</w:t>
            </w:r>
          </w:p>
        </w:tc>
      </w:tr>
      <w:tr w14:paraId="5A8B92A4">
        <w:trPr>
          <w:trHeight w:val="300" w:hRule="atLeast"/>
        </w:trPr>
        <w:tc>
          <w:tcPr>
            <w:tcW w:w="2100" w:type="dxa"/>
            <w:tcMar>
              <w:left w:w="120" w:type="dxa"/>
            </w:tcMar>
            <w:vAlign w:val="center"/>
          </w:tcPr>
          <w:p w14:paraId="77C601E7">
            <w:pPr>
              <w:spacing w:line="240" w:lineRule="auto"/>
              <w:rPr>
                <w:sz w:val="28"/>
                <w:szCs w:val="28"/>
              </w:rPr>
            </w:pPr>
            <w:r>
              <w:rPr>
                <w:rFonts w:ascii="方正黑体_GBK" w:hAnsi="方正黑体_GBK" w:eastAsia="方正黑体_GBK" w:cs="宋体"/>
                <w:sz w:val="20"/>
                <w:szCs w:val="24"/>
              </w:rPr>
              <w:t>江苏南通农村商业银行股份有限公司</w:t>
            </w:r>
          </w:p>
        </w:tc>
        <w:tc>
          <w:tcPr>
            <w:tcW w:w="4050" w:type="dxa"/>
            <w:tcMar>
              <w:left w:w="120" w:type="dxa"/>
            </w:tcMar>
            <w:vAlign w:val="center"/>
          </w:tcPr>
          <w:p w14:paraId="123851A1">
            <w:pPr>
              <w:spacing w:line="240" w:lineRule="auto"/>
              <w:rPr>
                <w:sz w:val="28"/>
                <w:szCs w:val="28"/>
              </w:rPr>
            </w:pPr>
            <w:r>
              <w:rPr>
                <w:rFonts w:ascii="方正黑体_GBK" w:hAnsi="方正黑体_GBK" w:eastAsia="方正黑体_GBK" w:cs="宋体"/>
                <w:sz w:val="20"/>
                <w:szCs w:val="24"/>
              </w:rPr>
              <w:t>南通市崇川区工农南路89号</w:t>
            </w:r>
          </w:p>
        </w:tc>
        <w:tc>
          <w:tcPr>
            <w:tcW w:w="1350" w:type="dxa"/>
            <w:tcMar>
              <w:left w:w="120" w:type="dxa"/>
            </w:tcMar>
            <w:vAlign w:val="center"/>
          </w:tcPr>
          <w:p w14:paraId="3D1AA86C">
            <w:pPr>
              <w:spacing w:line="240" w:lineRule="auto"/>
              <w:rPr>
                <w:sz w:val="28"/>
                <w:szCs w:val="28"/>
              </w:rPr>
            </w:pPr>
            <w:r>
              <w:rPr>
                <w:rFonts w:ascii="方正黑体_GBK" w:hAnsi="方正黑体_GBK" w:eastAsia="方正黑体_GBK" w:cs="宋体"/>
                <w:sz w:val="20"/>
                <w:szCs w:val="24"/>
              </w:rPr>
              <w:t>96008</w:t>
            </w:r>
          </w:p>
        </w:tc>
      </w:tr>
      <w:tr w14:paraId="532AB74F">
        <w:trPr>
          <w:trHeight w:val="300" w:hRule="atLeast"/>
        </w:trPr>
        <w:tc>
          <w:tcPr>
            <w:tcW w:w="2100" w:type="dxa"/>
            <w:tcMar>
              <w:left w:w="120" w:type="dxa"/>
            </w:tcMar>
            <w:vAlign w:val="center"/>
          </w:tcPr>
          <w:p w14:paraId="20A89C7C">
            <w:pPr>
              <w:spacing w:line="240" w:lineRule="auto"/>
              <w:rPr>
                <w:sz w:val="28"/>
                <w:szCs w:val="28"/>
              </w:rPr>
            </w:pPr>
            <w:r>
              <w:rPr>
                <w:rFonts w:ascii="方正黑体_GBK" w:hAnsi="方正黑体_GBK" w:eastAsia="方正黑体_GBK" w:cs="宋体"/>
                <w:sz w:val="20"/>
                <w:szCs w:val="24"/>
              </w:rPr>
              <w:t>江苏扬州农村商业银行股份有限公司</w:t>
            </w:r>
          </w:p>
        </w:tc>
        <w:tc>
          <w:tcPr>
            <w:tcW w:w="4050" w:type="dxa"/>
            <w:tcMar>
              <w:left w:w="120" w:type="dxa"/>
            </w:tcMar>
            <w:vAlign w:val="center"/>
          </w:tcPr>
          <w:p w14:paraId="4C32978D">
            <w:pPr>
              <w:spacing w:line="240" w:lineRule="auto"/>
              <w:rPr>
                <w:sz w:val="28"/>
                <w:szCs w:val="28"/>
              </w:rPr>
            </w:pPr>
            <w:r>
              <w:rPr>
                <w:rFonts w:ascii="方正黑体_GBK" w:hAnsi="方正黑体_GBK" w:eastAsia="方正黑体_GBK" w:cs="宋体"/>
                <w:sz w:val="20"/>
                <w:szCs w:val="24"/>
              </w:rPr>
              <w:t>江苏省扬州市同泰路107号</w:t>
            </w:r>
          </w:p>
        </w:tc>
        <w:tc>
          <w:tcPr>
            <w:tcW w:w="1350" w:type="dxa"/>
            <w:tcMar>
              <w:left w:w="120" w:type="dxa"/>
            </w:tcMar>
            <w:vAlign w:val="center"/>
          </w:tcPr>
          <w:p w14:paraId="12334834">
            <w:pPr>
              <w:spacing w:line="240" w:lineRule="auto"/>
              <w:rPr>
                <w:sz w:val="28"/>
                <w:szCs w:val="28"/>
              </w:rPr>
            </w:pPr>
            <w:r>
              <w:rPr>
                <w:rFonts w:ascii="方正黑体_GBK" w:hAnsi="方正黑体_GBK" w:eastAsia="方正黑体_GBK" w:cs="宋体"/>
                <w:sz w:val="20"/>
                <w:szCs w:val="24"/>
              </w:rPr>
              <w:t>96008</w:t>
            </w:r>
          </w:p>
        </w:tc>
      </w:tr>
      <w:tr w14:paraId="280145A0">
        <w:trPr>
          <w:trHeight w:val="300" w:hRule="atLeast"/>
        </w:trPr>
        <w:tc>
          <w:tcPr>
            <w:tcW w:w="2100" w:type="dxa"/>
            <w:tcMar>
              <w:left w:w="120" w:type="dxa"/>
            </w:tcMar>
            <w:vAlign w:val="center"/>
          </w:tcPr>
          <w:p w14:paraId="2078B536">
            <w:pPr>
              <w:spacing w:line="240" w:lineRule="auto"/>
              <w:rPr>
                <w:sz w:val="28"/>
                <w:szCs w:val="28"/>
              </w:rPr>
            </w:pPr>
            <w:r>
              <w:rPr>
                <w:rFonts w:ascii="方正黑体_GBK" w:hAnsi="方正黑体_GBK" w:eastAsia="方正黑体_GBK" w:cs="宋体"/>
                <w:sz w:val="20"/>
                <w:szCs w:val="24"/>
              </w:rPr>
              <w:t>江苏江都农村商业银行股份有限公司</w:t>
            </w:r>
          </w:p>
        </w:tc>
        <w:tc>
          <w:tcPr>
            <w:tcW w:w="4050" w:type="dxa"/>
            <w:tcMar>
              <w:left w:w="120" w:type="dxa"/>
            </w:tcMar>
            <w:vAlign w:val="center"/>
          </w:tcPr>
          <w:p w14:paraId="3BD44E84">
            <w:pPr>
              <w:spacing w:line="240" w:lineRule="auto"/>
              <w:rPr>
                <w:sz w:val="28"/>
                <w:szCs w:val="28"/>
              </w:rPr>
            </w:pPr>
            <w:r>
              <w:rPr>
                <w:rFonts w:ascii="方正黑体_GBK" w:hAnsi="方正黑体_GBK" w:eastAsia="方正黑体_GBK" w:cs="宋体"/>
                <w:sz w:val="20"/>
                <w:szCs w:val="24"/>
              </w:rPr>
              <w:t>扬州市江都区龙城路21号</w:t>
            </w:r>
          </w:p>
        </w:tc>
        <w:tc>
          <w:tcPr>
            <w:tcW w:w="1350" w:type="dxa"/>
            <w:tcMar>
              <w:left w:w="120" w:type="dxa"/>
            </w:tcMar>
            <w:vAlign w:val="center"/>
          </w:tcPr>
          <w:p w14:paraId="1E53D0D3">
            <w:pPr>
              <w:spacing w:line="240" w:lineRule="auto"/>
              <w:rPr>
                <w:sz w:val="28"/>
                <w:szCs w:val="28"/>
              </w:rPr>
            </w:pPr>
            <w:r>
              <w:rPr>
                <w:rFonts w:ascii="方正黑体_GBK" w:hAnsi="方正黑体_GBK" w:eastAsia="方正黑体_GBK" w:cs="宋体"/>
                <w:sz w:val="20"/>
                <w:szCs w:val="24"/>
              </w:rPr>
              <w:t>96008</w:t>
            </w:r>
          </w:p>
        </w:tc>
      </w:tr>
      <w:tr w14:paraId="495ED449">
        <w:trPr>
          <w:trHeight w:val="300" w:hRule="atLeast"/>
        </w:trPr>
        <w:tc>
          <w:tcPr>
            <w:tcW w:w="2100" w:type="dxa"/>
            <w:tcMar>
              <w:left w:w="120" w:type="dxa"/>
            </w:tcMar>
            <w:vAlign w:val="center"/>
          </w:tcPr>
          <w:p w14:paraId="42BFF393">
            <w:pPr>
              <w:spacing w:line="240" w:lineRule="auto"/>
              <w:rPr>
                <w:sz w:val="28"/>
                <w:szCs w:val="28"/>
              </w:rPr>
            </w:pPr>
            <w:r>
              <w:rPr>
                <w:rFonts w:ascii="方正黑体_GBK" w:hAnsi="方正黑体_GBK" w:eastAsia="方正黑体_GBK" w:cs="宋体"/>
                <w:sz w:val="20"/>
                <w:szCs w:val="24"/>
              </w:rPr>
              <w:t>江苏淮安农村商业银行股份有限公司</w:t>
            </w:r>
          </w:p>
        </w:tc>
        <w:tc>
          <w:tcPr>
            <w:tcW w:w="4050" w:type="dxa"/>
            <w:tcMar>
              <w:left w:w="120" w:type="dxa"/>
            </w:tcMar>
            <w:vAlign w:val="center"/>
          </w:tcPr>
          <w:p w14:paraId="526D63B1">
            <w:pPr>
              <w:spacing w:line="240" w:lineRule="auto"/>
              <w:rPr>
                <w:sz w:val="28"/>
                <w:szCs w:val="28"/>
              </w:rPr>
            </w:pPr>
            <w:r>
              <w:rPr>
                <w:rFonts w:ascii="方正黑体_GBK" w:hAnsi="方正黑体_GBK" w:eastAsia="方正黑体_GBK" w:cs="宋体"/>
                <w:sz w:val="20"/>
                <w:szCs w:val="24"/>
              </w:rPr>
              <w:t>江苏省淮安市清江浦区水渡口大道20号金融中心B1号楼</w:t>
            </w:r>
          </w:p>
        </w:tc>
        <w:tc>
          <w:tcPr>
            <w:tcW w:w="1350" w:type="dxa"/>
            <w:tcMar>
              <w:left w:w="120" w:type="dxa"/>
            </w:tcMar>
            <w:vAlign w:val="center"/>
          </w:tcPr>
          <w:p w14:paraId="5C4A3836">
            <w:pPr>
              <w:spacing w:line="240" w:lineRule="auto"/>
              <w:rPr>
                <w:sz w:val="28"/>
                <w:szCs w:val="28"/>
              </w:rPr>
            </w:pPr>
            <w:r>
              <w:rPr>
                <w:rFonts w:ascii="方正黑体_GBK" w:hAnsi="方正黑体_GBK" w:eastAsia="方正黑体_GBK" w:cs="宋体"/>
                <w:sz w:val="20"/>
                <w:szCs w:val="24"/>
              </w:rPr>
              <w:t>96008</w:t>
            </w:r>
          </w:p>
        </w:tc>
      </w:tr>
      <w:tr w14:paraId="254A9C5A">
        <w:trPr>
          <w:trHeight w:val="300" w:hRule="atLeast"/>
        </w:trPr>
        <w:tc>
          <w:tcPr>
            <w:tcW w:w="2100" w:type="dxa"/>
            <w:tcMar>
              <w:left w:w="120" w:type="dxa"/>
            </w:tcMar>
            <w:vAlign w:val="center"/>
          </w:tcPr>
          <w:p w14:paraId="513BFFEA">
            <w:pPr>
              <w:spacing w:line="240" w:lineRule="auto"/>
              <w:rPr>
                <w:sz w:val="28"/>
                <w:szCs w:val="28"/>
              </w:rPr>
            </w:pPr>
            <w:r>
              <w:rPr>
                <w:rFonts w:ascii="方正黑体_GBK" w:hAnsi="方正黑体_GBK" w:eastAsia="方正黑体_GBK" w:cs="宋体"/>
                <w:sz w:val="20"/>
                <w:szCs w:val="24"/>
              </w:rPr>
              <w:t>江苏大丰农村商业银行股份有限公司</w:t>
            </w:r>
          </w:p>
        </w:tc>
        <w:tc>
          <w:tcPr>
            <w:tcW w:w="4050" w:type="dxa"/>
            <w:tcMar>
              <w:left w:w="120" w:type="dxa"/>
            </w:tcMar>
            <w:vAlign w:val="center"/>
          </w:tcPr>
          <w:p w14:paraId="62B25CE0">
            <w:pPr>
              <w:spacing w:line="240" w:lineRule="auto"/>
              <w:rPr>
                <w:sz w:val="28"/>
                <w:szCs w:val="28"/>
              </w:rPr>
            </w:pPr>
            <w:r>
              <w:rPr>
                <w:rFonts w:ascii="方正黑体_GBK" w:hAnsi="方正黑体_GBK" w:eastAsia="方正黑体_GBK" w:cs="宋体"/>
                <w:sz w:val="20"/>
                <w:szCs w:val="24"/>
              </w:rPr>
              <w:t>江苏省盐城市大丰区常新中路9号</w:t>
            </w:r>
          </w:p>
        </w:tc>
        <w:tc>
          <w:tcPr>
            <w:tcW w:w="1350" w:type="dxa"/>
            <w:tcMar>
              <w:left w:w="120" w:type="dxa"/>
            </w:tcMar>
            <w:vAlign w:val="center"/>
          </w:tcPr>
          <w:p w14:paraId="7CA8F533">
            <w:pPr>
              <w:spacing w:line="240" w:lineRule="auto"/>
              <w:rPr>
                <w:sz w:val="28"/>
                <w:szCs w:val="28"/>
              </w:rPr>
            </w:pPr>
            <w:r>
              <w:rPr>
                <w:rFonts w:ascii="方正黑体_GBK" w:hAnsi="方正黑体_GBK" w:eastAsia="方正黑体_GBK" w:cs="宋体"/>
                <w:sz w:val="20"/>
                <w:szCs w:val="24"/>
              </w:rPr>
              <w:t>96008</w:t>
            </w:r>
          </w:p>
        </w:tc>
      </w:tr>
      <w:tr w14:paraId="44455429">
        <w:trPr>
          <w:trHeight w:val="300" w:hRule="atLeast"/>
        </w:trPr>
        <w:tc>
          <w:tcPr>
            <w:tcW w:w="2100" w:type="dxa"/>
            <w:tcMar>
              <w:left w:w="120" w:type="dxa"/>
            </w:tcMar>
            <w:vAlign w:val="center"/>
          </w:tcPr>
          <w:p w14:paraId="4DBB5955">
            <w:pPr>
              <w:spacing w:line="240" w:lineRule="auto"/>
              <w:rPr>
                <w:sz w:val="28"/>
                <w:szCs w:val="28"/>
              </w:rPr>
            </w:pPr>
            <w:r>
              <w:rPr>
                <w:rFonts w:ascii="方正黑体_GBK" w:hAnsi="方正黑体_GBK" w:eastAsia="方正黑体_GBK" w:cs="宋体"/>
                <w:sz w:val="20"/>
                <w:szCs w:val="24"/>
              </w:rPr>
              <w:t>江苏涟水农村商业银行股份有限公司</w:t>
            </w:r>
          </w:p>
        </w:tc>
        <w:tc>
          <w:tcPr>
            <w:tcW w:w="4050" w:type="dxa"/>
            <w:tcMar>
              <w:left w:w="120" w:type="dxa"/>
            </w:tcMar>
            <w:vAlign w:val="center"/>
          </w:tcPr>
          <w:p w14:paraId="068EF3C2">
            <w:pPr>
              <w:spacing w:line="240" w:lineRule="auto"/>
              <w:rPr>
                <w:sz w:val="28"/>
                <w:szCs w:val="28"/>
              </w:rPr>
            </w:pPr>
            <w:r>
              <w:rPr>
                <w:rFonts w:ascii="方正黑体_GBK" w:hAnsi="方正黑体_GBK" w:eastAsia="方正黑体_GBK" w:cs="宋体"/>
                <w:sz w:val="20"/>
                <w:szCs w:val="24"/>
              </w:rPr>
              <w:t>淮安市涟水县涟城镇涟州路5号</w:t>
            </w:r>
          </w:p>
        </w:tc>
        <w:tc>
          <w:tcPr>
            <w:tcW w:w="1350" w:type="dxa"/>
            <w:tcMar>
              <w:left w:w="120" w:type="dxa"/>
            </w:tcMar>
            <w:vAlign w:val="center"/>
          </w:tcPr>
          <w:p w14:paraId="32DE959A">
            <w:pPr>
              <w:spacing w:line="240" w:lineRule="auto"/>
              <w:rPr>
                <w:sz w:val="28"/>
                <w:szCs w:val="28"/>
              </w:rPr>
            </w:pPr>
            <w:r>
              <w:rPr>
                <w:rFonts w:ascii="方正黑体_GBK" w:hAnsi="方正黑体_GBK" w:eastAsia="方正黑体_GBK" w:cs="宋体"/>
                <w:sz w:val="20"/>
                <w:szCs w:val="24"/>
              </w:rPr>
              <w:t>96008</w:t>
            </w:r>
          </w:p>
        </w:tc>
      </w:tr>
      <w:tr w14:paraId="2D1C95BD">
        <w:trPr>
          <w:trHeight w:val="300" w:hRule="atLeast"/>
        </w:trPr>
        <w:tc>
          <w:tcPr>
            <w:tcW w:w="2100" w:type="dxa"/>
            <w:tcMar>
              <w:left w:w="120" w:type="dxa"/>
            </w:tcMar>
            <w:vAlign w:val="center"/>
          </w:tcPr>
          <w:p w14:paraId="10BF7E46">
            <w:pPr>
              <w:spacing w:line="240" w:lineRule="auto"/>
              <w:rPr>
                <w:sz w:val="28"/>
                <w:szCs w:val="28"/>
              </w:rPr>
            </w:pPr>
            <w:r>
              <w:rPr>
                <w:rFonts w:ascii="方正黑体_GBK" w:hAnsi="方正黑体_GBK" w:eastAsia="方正黑体_GBK" w:cs="宋体"/>
                <w:sz w:val="20"/>
                <w:szCs w:val="24"/>
              </w:rPr>
              <w:t>江苏兴化农村商业银行股份有限公司</w:t>
            </w:r>
          </w:p>
        </w:tc>
        <w:tc>
          <w:tcPr>
            <w:tcW w:w="4050" w:type="dxa"/>
            <w:tcMar>
              <w:left w:w="120" w:type="dxa"/>
            </w:tcMar>
            <w:vAlign w:val="center"/>
          </w:tcPr>
          <w:p w14:paraId="47C2003B">
            <w:pPr>
              <w:spacing w:line="240" w:lineRule="auto"/>
              <w:rPr>
                <w:sz w:val="28"/>
                <w:szCs w:val="28"/>
              </w:rPr>
            </w:pPr>
            <w:r>
              <w:rPr>
                <w:rFonts w:ascii="方正黑体_GBK" w:hAnsi="方正黑体_GBK" w:eastAsia="方正黑体_GBK" w:cs="宋体"/>
                <w:sz w:val="20"/>
                <w:szCs w:val="24"/>
              </w:rPr>
              <w:t>江苏省兴化市长安南路999号</w:t>
            </w:r>
          </w:p>
        </w:tc>
        <w:tc>
          <w:tcPr>
            <w:tcW w:w="1350" w:type="dxa"/>
            <w:tcMar>
              <w:left w:w="120" w:type="dxa"/>
            </w:tcMar>
            <w:vAlign w:val="center"/>
          </w:tcPr>
          <w:p w14:paraId="203B8A03">
            <w:pPr>
              <w:spacing w:line="240" w:lineRule="auto"/>
              <w:rPr>
                <w:sz w:val="28"/>
                <w:szCs w:val="28"/>
              </w:rPr>
            </w:pPr>
            <w:r>
              <w:rPr>
                <w:rFonts w:ascii="方正黑体_GBK" w:hAnsi="方正黑体_GBK" w:eastAsia="方正黑体_GBK" w:cs="宋体"/>
                <w:sz w:val="20"/>
                <w:szCs w:val="24"/>
              </w:rPr>
              <w:t>96008</w:t>
            </w:r>
          </w:p>
        </w:tc>
      </w:tr>
      <w:tr w14:paraId="1B34C997">
        <w:trPr>
          <w:trHeight w:val="300" w:hRule="atLeast"/>
        </w:trPr>
        <w:tc>
          <w:tcPr>
            <w:tcW w:w="2100" w:type="dxa"/>
            <w:tcMar>
              <w:left w:w="120" w:type="dxa"/>
            </w:tcMar>
            <w:vAlign w:val="center"/>
          </w:tcPr>
          <w:p w14:paraId="4D5E377C">
            <w:pPr>
              <w:spacing w:line="240" w:lineRule="auto"/>
              <w:rPr>
                <w:sz w:val="28"/>
                <w:szCs w:val="28"/>
              </w:rPr>
            </w:pPr>
            <w:r>
              <w:rPr>
                <w:rFonts w:ascii="方正黑体_GBK" w:hAnsi="方正黑体_GBK" w:eastAsia="方正黑体_GBK" w:cs="宋体"/>
                <w:sz w:val="20"/>
                <w:szCs w:val="24"/>
              </w:rPr>
              <w:t>江苏镇江农村商业银行股份有限公司</w:t>
            </w:r>
          </w:p>
        </w:tc>
        <w:tc>
          <w:tcPr>
            <w:tcW w:w="4050" w:type="dxa"/>
            <w:tcMar>
              <w:left w:w="120" w:type="dxa"/>
            </w:tcMar>
            <w:vAlign w:val="center"/>
          </w:tcPr>
          <w:p w14:paraId="70BD7EA2">
            <w:pPr>
              <w:spacing w:line="240" w:lineRule="auto"/>
              <w:rPr>
                <w:sz w:val="28"/>
                <w:szCs w:val="28"/>
              </w:rPr>
            </w:pPr>
            <w:r>
              <w:rPr>
                <w:rFonts w:ascii="方正黑体_GBK" w:hAnsi="方正黑体_GBK" w:eastAsia="方正黑体_GBK" w:cs="宋体"/>
                <w:sz w:val="20"/>
                <w:szCs w:val="24"/>
              </w:rPr>
              <w:t>江苏省镇江市润州区长江路97号</w:t>
            </w:r>
          </w:p>
        </w:tc>
        <w:tc>
          <w:tcPr>
            <w:tcW w:w="1350" w:type="dxa"/>
            <w:tcMar>
              <w:left w:w="120" w:type="dxa"/>
            </w:tcMar>
            <w:vAlign w:val="center"/>
          </w:tcPr>
          <w:p w14:paraId="03F954A0">
            <w:pPr>
              <w:spacing w:line="240" w:lineRule="auto"/>
              <w:rPr>
                <w:sz w:val="28"/>
                <w:szCs w:val="28"/>
              </w:rPr>
            </w:pPr>
            <w:r>
              <w:rPr>
                <w:rFonts w:ascii="方正黑体_GBK" w:hAnsi="方正黑体_GBK" w:eastAsia="方正黑体_GBK" w:cs="宋体"/>
                <w:sz w:val="20"/>
                <w:szCs w:val="24"/>
              </w:rPr>
              <w:t>96008</w:t>
            </w:r>
          </w:p>
        </w:tc>
      </w:tr>
      <w:tr w14:paraId="22655214">
        <w:trPr>
          <w:trHeight w:val="300" w:hRule="atLeast"/>
        </w:trPr>
        <w:tc>
          <w:tcPr>
            <w:tcW w:w="2100" w:type="dxa"/>
            <w:tcMar>
              <w:left w:w="120" w:type="dxa"/>
            </w:tcMar>
            <w:vAlign w:val="center"/>
          </w:tcPr>
          <w:p w14:paraId="7C87E52D">
            <w:pPr>
              <w:spacing w:line="240" w:lineRule="auto"/>
              <w:rPr>
                <w:sz w:val="28"/>
                <w:szCs w:val="28"/>
              </w:rPr>
            </w:pPr>
            <w:r>
              <w:rPr>
                <w:rFonts w:ascii="方正黑体_GBK" w:hAnsi="方正黑体_GBK" w:eastAsia="方正黑体_GBK" w:cs="宋体"/>
                <w:sz w:val="20"/>
                <w:szCs w:val="24"/>
              </w:rPr>
              <w:t>江苏如皋农村商业银行股份有限公司</w:t>
            </w:r>
          </w:p>
        </w:tc>
        <w:tc>
          <w:tcPr>
            <w:tcW w:w="4050" w:type="dxa"/>
            <w:tcMar>
              <w:left w:w="120" w:type="dxa"/>
            </w:tcMar>
            <w:vAlign w:val="center"/>
          </w:tcPr>
          <w:p w14:paraId="1C16C6EF">
            <w:pPr>
              <w:spacing w:line="240" w:lineRule="auto"/>
              <w:rPr>
                <w:sz w:val="28"/>
                <w:szCs w:val="28"/>
              </w:rPr>
            </w:pPr>
            <w:r>
              <w:rPr>
                <w:rFonts w:ascii="方正黑体_GBK" w:hAnsi="方正黑体_GBK" w:eastAsia="方正黑体_GBK" w:cs="宋体"/>
                <w:sz w:val="20"/>
                <w:szCs w:val="24"/>
              </w:rPr>
              <w:t>如皋市如城街道海阳南路999号</w:t>
            </w:r>
          </w:p>
        </w:tc>
        <w:tc>
          <w:tcPr>
            <w:tcW w:w="1350" w:type="dxa"/>
            <w:tcMar>
              <w:left w:w="120" w:type="dxa"/>
            </w:tcMar>
            <w:vAlign w:val="center"/>
          </w:tcPr>
          <w:p w14:paraId="1F5D1BC3">
            <w:pPr>
              <w:spacing w:line="240" w:lineRule="auto"/>
              <w:rPr>
                <w:sz w:val="28"/>
                <w:szCs w:val="28"/>
              </w:rPr>
            </w:pPr>
            <w:r>
              <w:rPr>
                <w:rFonts w:ascii="方正黑体_GBK" w:hAnsi="方正黑体_GBK" w:eastAsia="方正黑体_GBK" w:cs="宋体"/>
                <w:sz w:val="20"/>
                <w:szCs w:val="24"/>
              </w:rPr>
              <w:t>96008</w:t>
            </w:r>
          </w:p>
        </w:tc>
      </w:tr>
      <w:tr w14:paraId="0CEAE736">
        <w:trPr>
          <w:trHeight w:val="300" w:hRule="atLeast"/>
        </w:trPr>
        <w:tc>
          <w:tcPr>
            <w:tcW w:w="2100" w:type="dxa"/>
            <w:tcMar>
              <w:left w:w="120" w:type="dxa"/>
            </w:tcMar>
            <w:vAlign w:val="center"/>
          </w:tcPr>
          <w:p w14:paraId="2500F674">
            <w:pPr>
              <w:spacing w:line="240" w:lineRule="auto"/>
              <w:rPr>
                <w:sz w:val="28"/>
                <w:szCs w:val="28"/>
              </w:rPr>
            </w:pPr>
            <w:r>
              <w:rPr>
                <w:rFonts w:ascii="方正黑体_GBK" w:hAnsi="方正黑体_GBK" w:eastAsia="方正黑体_GBK" w:cs="宋体"/>
                <w:sz w:val="20"/>
                <w:szCs w:val="24"/>
              </w:rPr>
              <w:t>江苏宝应农村商业银行股份有限公司</w:t>
            </w:r>
          </w:p>
        </w:tc>
        <w:tc>
          <w:tcPr>
            <w:tcW w:w="4050" w:type="dxa"/>
            <w:tcMar>
              <w:left w:w="120" w:type="dxa"/>
            </w:tcMar>
            <w:vAlign w:val="center"/>
          </w:tcPr>
          <w:p w14:paraId="730AFF69">
            <w:pPr>
              <w:spacing w:line="240" w:lineRule="auto"/>
              <w:rPr>
                <w:sz w:val="28"/>
                <w:szCs w:val="28"/>
              </w:rPr>
            </w:pPr>
            <w:r>
              <w:rPr>
                <w:rFonts w:ascii="方正黑体_GBK" w:hAnsi="方正黑体_GBK" w:eastAsia="方正黑体_GBK" w:cs="宋体"/>
                <w:sz w:val="20"/>
                <w:szCs w:val="24"/>
              </w:rPr>
              <w:t>江苏省宝应县文津路1号</w:t>
            </w:r>
          </w:p>
        </w:tc>
        <w:tc>
          <w:tcPr>
            <w:tcW w:w="1350" w:type="dxa"/>
            <w:tcMar>
              <w:left w:w="120" w:type="dxa"/>
            </w:tcMar>
            <w:vAlign w:val="center"/>
          </w:tcPr>
          <w:p w14:paraId="1AB729D6">
            <w:pPr>
              <w:spacing w:line="240" w:lineRule="auto"/>
              <w:rPr>
                <w:sz w:val="28"/>
                <w:szCs w:val="28"/>
              </w:rPr>
            </w:pPr>
            <w:r>
              <w:rPr>
                <w:rFonts w:ascii="方正黑体_GBK" w:hAnsi="方正黑体_GBK" w:eastAsia="方正黑体_GBK" w:cs="宋体"/>
                <w:sz w:val="20"/>
                <w:szCs w:val="24"/>
              </w:rPr>
              <w:t>96008</w:t>
            </w:r>
          </w:p>
        </w:tc>
      </w:tr>
      <w:tr w14:paraId="51A8BA1F">
        <w:trPr>
          <w:trHeight w:val="300" w:hRule="atLeast"/>
        </w:trPr>
        <w:tc>
          <w:tcPr>
            <w:tcW w:w="2100" w:type="dxa"/>
            <w:tcMar>
              <w:left w:w="120" w:type="dxa"/>
            </w:tcMar>
            <w:vAlign w:val="center"/>
          </w:tcPr>
          <w:p w14:paraId="5F564250">
            <w:pPr>
              <w:spacing w:line="240" w:lineRule="auto"/>
              <w:rPr>
                <w:sz w:val="28"/>
                <w:szCs w:val="28"/>
              </w:rPr>
            </w:pPr>
            <w:r>
              <w:rPr>
                <w:rFonts w:ascii="方正黑体_GBK" w:hAnsi="方正黑体_GBK" w:eastAsia="方正黑体_GBK" w:cs="宋体"/>
                <w:sz w:val="20"/>
                <w:szCs w:val="24"/>
              </w:rPr>
              <w:t>徐州农村商业银行股份有限公司</w:t>
            </w:r>
          </w:p>
        </w:tc>
        <w:tc>
          <w:tcPr>
            <w:tcW w:w="4050" w:type="dxa"/>
            <w:tcMar>
              <w:left w:w="120" w:type="dxa"/>
            </w:tcMar>
            <w:vAlign w:val="center"/>
          </w:tcPr>
          <w:p w14:paraId="0D647E84">
            <w:pPr>
              <w:spacing w:line="240" w:lineRule="auto"/>
              <w:rPr>
                <w:sz w:val="28"/>
                <w:szCs w:val="28"/>
              </w:rPr>
            </w:pPr>
            <w:r>
              <w:rPr>
                <w:rFonts w:ascii="方正黑体_GBK" w:hAnsi="方正黑体_GBK" w:eastAsia="方正黑体_GBK" w:cs="宋体"/>
                <w:sz w:val="20"/>
                <w:szCs w:val="24"/>
              </w:rPr>
              <w:t>徐州市铜山区北京南路26号</w:t>
            </w:r>
          </w:p>
        </w:tc>
        <w:tc>
          <w:tcPr>
            <w:tcW w:w="1350" w:type="dxa"/>
            <w:tcMar>
              <w:left w:w="120" w:type="dxa"/>
            </w:tcMar>
            <w:vAlign w:val="center"/>
          </w:tcPr>
          <w:p w14:paraId="6B06772F">
            <w:pPr>
              <w:spacing w:line="240" w:lineRule="auto"/>
              <w:rPr>
                <w:sz w:val="28"/>
                <w:szCs w:val="28"/>
              </w:rPr>
            </w:pPr>
            <w:r>
              <w:rPr>
                <w:rFonts w:ascii="方正黑体_GBK" w:hAnsi="方正黑体_GBK" w:eastAsia="方正黑体_GBK" w:cs="宋体"/>
                <w:sz w:val="20"/>
                <w:szCs w:val="24"/>
              </w:rPr>
              <w:t>96008</w:t>
            </w:r>
          </w:p>
        </w:tc>
      </w:tr>
      <w:tr w14:paraId="419009EF">
        <w:trPr>
          <w:trHeight w:val="300" w:hRule="atLeast"/>
        </w:trPr>
        <w:tc>
          <w:tcPr>
            <w:tcW w:w="2100" w:type="dxa"/>
            <w:tcMar>
              <w:left w:w="120" w:type="dxa"/>
            </w:tcMar>
            <w:vAlign w:val="center"/>
          </w:tcPr>
          <w:p w14:paraId="14E2E5B9">
            <w:pPr>
              <w:spacing w:line="240" w:lineRule="auto"/>
              <w:rPr>
                <w:sz w:val="28"/>
                <w:szCs w:val="28"/>
              </w:rPr>
            </w:pPr>
            <w:r>
              <w:rPr>
                <w:rFonts w:ascii="方正黑体_GBK" w:hAnsi="方正黑体_GBK" w:eastAsia="方正黑体_GBK" w:cs="宋体"/>
                <w:sz w:val="20"/>
                <w:szCs w:val="24"/>
              </w:rPr>
              <w:t>广东顺德农村商业银行股份有限公司</w:t>
            </w:r>
          </w:p>
        </w:tc>
        <w:tc>
          <w:tcPr>
            <w:tcW w:w="4050" w:type="dxa"/>
            <w:tcMar>
              <w:left w:w="120" w:type="dxa"/>
            </w:tcMar>
            <w:vAlign w:val="center"/>
          </w:tcPr>
          <w:p w14:paraId="34854E32">
            <w:pPr>
              <w:spacing w:line="240" w:lineRule="auto"/>
              <w:rPr>
                <w:sz w:val="28"/>
                <w:szCs w:val="28"/>
              </w:rPr>
            </w:pPr>
            <w:r>
              <w:rPr>
                <w:rFonts w:ascii="方正黑体_GBK" w:hAnsi="方正黑体_GBK" w:eastAsia="方正黑体_GBK" w:cs="宋体"/>
                <w:sz w:val="20"/>
                <w:szCs w:val="24"/>
              </w:rPr>
              <w:t>广东省佛山市顺德区大良街道德和社区兴业路8号</w:t>
            </w:r>
          </w:p>
        </w:tc>
        <w:tc>
          <w:tcPr>
            <w:tcW w:w="1350" w:type="dxa"/>
            <w:tcMar>
              <w:left w:w="120" w:type="dxa"/>
            </w:tcMar>
            <w:vAlign w:val="center"/>
          </w:tcPr>
          <w:p w14:paraId="358302C8">
            <w:pPr>
              <w:spacing w:line="240" w:lineRule="auto"/>
              <w:rPr>
                <w:sz w:val="28"/>
                <w:szCs w:val="28"/>
              </w:rPr>
            </w:pPr>
            <w:r>
              <w:rPr>
                <w:rFonts w:ascii="方正黑体_GBK" w:hAnsi="方正黑体_GBK" w:eastAsia="方正黑体_GBK" w:cs="宋体"/>
                <w:sz w:val="20"/>
                <w:szCs w:val="24"/>
              </w:rPr>
              <w:t>0757-22223388</w:t>
            </w:r>
          </w:p>
        </w:tc>
      </w:tr>
      <w:tr w14:paraId="786FEB20">
        <w:trPr>
          <w:trHeight w:val="300" w:hRule="atLeast"/>
        </w:trPr>
        <w:tc>
          <w:tcPr>
            <w:tcW w:w="2100" w:type="dxa"/>
            <w:tcMar>
              <w:left w:w="120" w:type="dxa"/>
            </w:tcMar>
            <w:vAlign w:val="center"/>
          </w:tcPr>
          <w:p w14:paraId="4D25380D">
            <w:pPr>
              <w:spacing w:line="240" w:lineRule="auto"/>
              <w:rPr>
                <w:sz w:val="28"/>
                <w:szCs w:val="28"/>
              </w:rPr>
            </w:pPr>
            <w:r>
              <w:rPr>
                <w:rFonts w:ascii="方正黑体_GBK" w:hAnsi="方正黑体_GBK" w:eastAsia="方正黑体_GBK" w:cs="宋体"/>
                <w:sz w:val="20"/>
                <w:szCs w:val="24"/>
              </w:rPr>
              <w:t>海南银行股份有限公司</w:t>
            </w:r>
          </w:p>
        </w:tc>
        <w:tc>
          <w:tcPr>
            <w:tcW w:w="4050" w:type="dxa"/>
            <w:tcMar>
              <w:left w:w="120" w:type="dxa"/>
            </w:tcMar>
            <w:vAlign w:val="center"/>
          </w:tcPr>
          <w:p w14:paraId="7BB6DED8">
            <w:pPr>
              <w:spacing w:line="240" w:lineRule="auto"/>
              <w:rPr>
                <w:sz w:val="28"/>
                <w:szCs w:val="28"/>
              </w:rPr>
            </w:pPr>
            <w:r>
              <w:rPr>
                <w:rFonts w:ascii="方正黑体_GBK" w:hAnsi="方正黑体_GBK" w:eastAsia="方正黑体_GBK" w:cs="宋体"/>
                <w:sz w:val="20"/>
                <w:szCs w:val="24"/>
              </w:rPr>
              <w:t>海南省海口市龙华区海秀东路31号</w:t>
            </w:r>
          </w:p>
        </w:tc>
        <w:tc>
          <w:tcPr>
            <w:tcW w:w="1350" w:type="dxa"/>
            <w:tcMar>
              <w:left w:w="120" w:type="dxa"/>
            </w:tcMar>
            <w:vAlign w:val="center"/>
          </w:tcPr>
          <w:p w14:paraId="253BBC1F">
            <w:pPr>
              <w:spacing w:line="240" w:lineRule="auto"/>
              <w:rPr>
                <w:sz w:val="28"/>
                <w:szCs w:val="28"/>
              </w:rPr>
            </w:pPr>
            <w:r>
              <w:rPr>
                <w:rFonts w:ascii="方正黑体_GBK" w:hAnsi="方正黑体_GBK" w:eastAsia="方正黑体_GBK" w:cs="宋体"/>
                <w:sz w:val="20"/>
                <w:szCs w:val="24"/>
              </w:rPr>
              <w:t>0898-66505978</w:t>
            </w:r>
          </w:p>
        </w:tc>
      </w:tr>
      <w:tr w14:paraId="1736215C">
        <w:trPr>
          <w:trHeight w:val="300" w:hRule="atLeast"/>
        </w:trPr>
        <w:tc>
          <w:tcPr>
            <w:tcW w:w="2100" w:type="dxa"/>
            <w:tcMar>
              <w:left w:w="120" w:type="dxa"/>
            </w:tcMar>
            <w:vAlign w:val="center"/>
          </w:tcPr>
          <w:p w14:paraId="76875470">
            <w:pPr>
              <w:spacing w:line="240" w:lineRule="auto"/>
              <w:rPr>
                <w:sz w:val="28"/>
                <w:szCs w:val="28"/>
              </w:rPr>
            </w:pPr>
            <w:r>
              <w:rPr>
                <w:rFonts w:ascii="方正黑体_GBK" w:hAnsi="方正黑体_GBK" w:eastAsia="方正黑体_GBK" w:cs="宋体"/>
                <w:sz w:val="20"/>
                <w:szCs w:val="24"/>
              </w:rPr>
              <w:t>江苏丰县农村商业银行股份有限公司</w:t>
            </w:r>
          </w:p>
        </w:tc>
        <w:tc>
          <w:tcPr>
            <w:tcW w:w="4050" w:type="dxa"/>
            <w:tcMar>
              <w:left w:w="120" w:type="dxa"/>
            </w:tcMar>
            <w:vAlign w:val="center"/>
          </w:tcPr>
          <w:p w14:paraId="2715E94D">
            <w:pPr>
              <w:spacing w:line="240" w:lineRule="auto"/>
              <w:rPr>
                <w:sz w:val="28"/>
                <w:szCs w:val="28"/>
              </w:rPr>
            </w:pPr>
            <w:r>
              <w:rPr>
                <w:rFonts w:ascii="方正黑体_GBK" w:hAnsi="方正黑体_GBK" w:eastAsia="方正黑体_GBK" w:cs="宋体"/>
                <w:sz w:val="20"/>
                <w:szCs w:val="24"/>
              </w:rPr>
              <w:t>江苏省丰县人民中路9号</w:t>
            </w:r>
          </w:p>
        </w:tc>
        <w:tc>
          <w:tcPr>
            <w:tcW w:w="1350" w:type="dxa"/>
            <w:tcMar>
              <w:left w:w="120" w:type="dxa"/>
            </w:tcMar>
            <w:vAlign w:val="center"/>
          </w:tcPr>
          <w:p w14:paraId="2BE4C4BE">
            <w:pPr>
              <w:spacing w:line="240" w:lineRule="auto"/>
              <w:rPr>
                <w:sz w:val="28"/>
                <w:szCs w:val="28"/>
              </w:rPr>
            </w:pPr>
            <w:r>
              <w:rPr>
                <w:rFonts w:ascii="方正黑体_GBK" w:hAnsi="方正黑体_GBK" w:eastAsia="方正黑体_GBK" w:cs="宋体"/>
                <w:sz w:val="20"/>
                <w:szCs w:val="24"/>
              </w:rPr>
              <w:t>96008</w:t>
            </w:r>
          </w:p>
        </w:tc>
      </w:tr>
      <w:tr w14:paraId="22D287F6">
        <w:trPr>
          <w:trHeight w:val="300" w:hRule="atLeast"/>
        </w:trPr>
        <w:tc>
          <w:tcPr>
            <w:tcW w:w="2100" w:type="dxa"/>
            <w:tcMar>
              <w:left w:w="120" w:type="dxa"/>
            </w:tcMar>
            <w:vAlign w:val="center"/>
          </w:tcPr>
          <w:p w14:paraId="27057086">
            <w:pPr>
              <w:spacing w:line="240" w:lineRule="auto"/>
              <w:rPr>
                <w:sz w:val="28"/>
                <w:szCs w:val="28"/>
              </w:rPr>
            </w:pPr>
            <w:r>
              <w:rPr>
                <w:rFonts w:ascii="方正黑体_GBK" w:hAnsi="方正黑体_GBK" w:eastAsia="方正黑体_GBK" w:cs="宋体"/>
                <w:sz w:val="20"/>
                <w:szCs w:val="24"/>
              </w:rPr>
              <w:t>江苏射阳农村商业银行股份有限公司</w:t>
            </w:r>
          </w:p>
        </w:tc>
        <w:tc>
          <w:tcPr>
            <w:tcW w:w="4050" w:type="dxa"/>
            <w:tcMar>
              <w:left w:w="120" w:type="dxa"/>
            </w:tcMar>
            <w:vAlign w:val="center"/>
          </w:tcPr>
          <w:p w14:paraId="2AF99C17">
            <w:pPr>
              <w:spacing w:line="240" w:lineRule="auto"/>
              <w:rPr>
                <w:sz w:val="28"/>
                <w:szCs w:val="28"/>
              </w:rPr>
            </w:pPr>
            <w:r>
              <w:rPr>
                <w:rFonts w:ascii="方正黑体_GBK" w:hAnsi="方正黑体_GBK" w:eastAsia="方正黑体_GBK" w:cs="宋体"/>
                <w:sz w:val="20"/>
                <w:szCs w:val="24"/>
              </w:rPr>
              <w:t>射阳县合德镇解放路385号</w:t>
            </w:r>
          </w:p>
        </w:tc>
        <w:tc>
          <w:tcPr>
            <w:tcW w:w="1350" w:type="dxa"/>
            <w:tcMar>
              <w:left w:w="120" w:type="dxa"/>
            </w:tcMar>
            <w:vAlign w:val="center"/>
          </w:tcPr>
          <w:p w14:paraId="39E26988">
            <w:pPr>
              <w:spacing w:line="240" w:lineRule="auto"/>
              <w:rPr>
                <w:sz w:val="28"/>
                <w:szCs w:val="28"/>
              </w:rPr>
            </w:pPr>
            <w:r>
              <w:rPr>
                <w:rFonts w:ascii="方正黑体_GBK" w:hAnsi="方正黑体_GBK" w:eastAsia="方正黑体_GBK" w:cs="宋体"/>
                <w:sz w:val="20"/>
                <w:szCs w:val="24"/>
              </w:rPr>
              <w:t>96008</w:t>
            </w:r>
          </w:p>
        </w:tc>
      </w:tr>
      <w:tr w14:paraId="73704D7B">
        <w:trPr>
          <w:trHeight w:val="300" w:hRule="atLeast"/>
        </w:trPr>
        <w:tc>
          <w:tcPr>
            <w:tcW w:w="2100" w:type="dxa"/>
            <w:tcMar>
              <w:left w:w="120" w:type="dxa"/>
            </w:tcMar>
            <w:vAlign w:val="center"/>
          </w:tcPr>
          <w:p w14:paraId="4B71941C">
            <w:pPr>
              <w:spacing w:line="240" w:lineRule="auto"/>
              <w:rPr>
                <w:sz w:val="28"/>
                <w:szCs w:val="28"/>
              </w:rPr>
            </w:pPr>
            <w:r>
              <w:rPr>
                <w:rFonts w:ascii="方正黑体_GBK" w:hAnsi="方正黑体_GBK" w:eastAsia="方正黑体_GBK" w:cs="宋体"/>
                <w:sz w:val="20"/>
                <w:szCs w:val="24"/>
              </w:rPr>
              <w:t>江苏句容农村商业银行股份有限公司</w:t>
            </w:r>
          </w:p>
        </w:tc>
        <w:tc>
          <w:tcPr>
            <w:tcW w:w="4050" w:type="dxa"/>
            <w:tcMar>
              <w:left w:w="120" w:type="dxa"/>
            </w:tcMar>
            <w:vAlign w:val="center"/>
          </w:tcPr>
          <w:p w14:paraId="10744578">
            <w:pPr>
              <w:spacing w:line="240" w:lineRule="auto"/>
              <w:rPr>
                <w:sz w:val="28"/>
                <w:szCs w:val="28"/>
              </w:rPr>
            </w:pPr>
            <w:r>
              <w:rPr>
                <w:rFonts w:ascii="方正黑体_GBK" w:hAnsi="方正黑体_GBK" w:eastAsia="方正黑体_GBK" w:cs="宋体"/>
                <w:sz w:val="20"/>
                <w:szCs w:val="24"/>
              </w:rPr>
              <w:t>江苏省句容市福地东路66号</w:t>
            </w:r>
          </w:p>
        </w:tc>
        <w:tc>
          <w:tcPr>
            <w:tcW w:w="1350" w:type="dxa"/>
            <w:tcMar>
              <w:left w:w="120" w:type="dxa"/>
            </w:tcMar>
            <w:vAlign w:val="center"/>
          </w:tcPr>
          <w:p w14:paraId="08E28496">
            <w:pPr>
              <w:spacing w:line="240" w:lineRule="auto"/>
              <w:rPr>
                <w:sz w:val="28"/>
                <w:szCs w:val="28"/>
              </w:rPr>
            </w:pPr>
            <w:r>
              <w:rPr>
                <w:rFonts w:ascii="方正黑体_GBK" w:hAnsi="方正黑体_GBK" w:eastAsia="方正黑体_GBK" w:cs="宋体"/>
                <w:sz w:val="20"/>
                <w:szCs w:val="24"/>
              </w:rPr>
              <w:t>96008</w:t>
            </w:r>
          </w:p>
        </w:tc>
      </w:tr>
      <w:tr w14:paraId="1E5CD8D6">
        <w:trPr>
          <w:trHeight w:val="300" w:hRule="atLeast"/>
        </w:trPr>
        <w:tc>
          <w:tcPr>
            <w:tcW w:w="2100" w:type="dxa"/>
            <w:tcMar>
              <w:left w:w="120" w:type="dxa"/>
            </w:tcMar>
            <w:vAlign w:val="center"/>
          </w:tcPr>
          <w:p w14:paraId="3D5D40DF">
            <w:pPr>
              <w:spacing w:line="240" w:lineRule="auto"/>
              <w:rPr>
                <w:sz w:val="28"/>
                <w:szCs w:val="28"/>
              </w:rPr>
            </w:pPr>
            <w:r>
              <w:rPr>
                <w:rFonts w:ascii="方正黑体_GBK" w:hAnsi="方正黑体_GBK" w:eastAsia="方正黑体_GBK" w:cs="宋体"/>
                <w:sz w:val="20"/>
                <w:szCs w:val="24"/>
              </w:rPr>
              <w:t>江苏泗洪农村商业银行股份有限公司</w:t>
            </w:r>
          </w:p>
        </w:tc>
        <w:tc>
          <w:tcPr>
            <w:tcW w:w="4050" w:type="dxa"/>
            <w:tcMar>
              <w:left w:w="120" w:type="dxa"/>
            </w:tcMar>
            <w:vAlign w:val="center"/>
          </w:tcPr>
          <w:p w14:paraId="1BBAC6FC">
            <w:pPr>
              <w:spacing w:line="240" w:lineRule="auto"/>
              <w:rPr>
                <w:sz w:val="28"/>
                <w:szCs w:val="28"/>
              </w:rPr>
            </w:pPr>
            <w:r>
              <w:rPr>
                <w:rFonts w:ascii="方正黑体_GBK" w:hAnsi="方正黑体_GBK" w:eastAsia="方正黑体_GBK" w:cs="宋体"/>
                <w:sz w:val="20"/>
                <w:szCs w:val="24"/>
              </w:rPr>
              <w:t>江苏省宿迁市泗洪县长江东路17号</w:t>
            </w:r>
          </w:p>
        </w:tc>
        <w:tc>
          <w:tcPr>
            <w:tcW w:w="1350" w:type="dxa"/>
            <w:tcMar>
              <w:left w:w="120" w:type="dxa"/>
            </w:tcMar>
            <w:vAlign w:val="center"/>
          </w:tcPr>
          <w:p w14:paraId="04F2E0C2">
            <w:pPr>
              <w:spacing w:line="240" w:lineRule="auto"/>
              <w:rPr>
                <w:sz w:val="28"/>
                <w:szCs w:val="28"/>
              </w:rPr>
            </w:pPr>
            <w:r>
              <w:rPr>
                <w:rFonts w:ascii="方正黑体_GBK" w:hAnsi="方正黑体_GBK" w:eastAsia="方正黑体_GBK" w:cs="宋体"/>
                <w:sz w:val="20"/>
                <w:szCs w:val="24"/>
              </w:rPr>
              <w:t>96008</w:t>
            </w:r>
          </w:p>
        </w:tc>
      </w:tr>
      <w:tr w14:paraId="5CD06937">
        <w:trPr>
          <w:trHeight w:val="300" w:hRule="atLeast"/>
        </w:trPr>
        <w:tc>
          <w:tcPr>
            <w:tcW w:w="2100" w:type="dxa"/>
            <w:tcMar>
              <w:left w:w="120" w:type="dxa"/>
            </w:tcMar>
            <w:vAlign w:val="center"/>
          </w:tcPr>
          <w:p w14:paraId="3DBE5627">
            <w:pPr>
              <w:spacing w:line="240" w:lineRule="auto"/>
              <w:rPr>
                <w:sz w:val="28"/>
                <w:szCs w:val="28"/>
              </w:rPr>
            </w:pPr>
            <w:r>
              <w:rPr>
                <w:rFonts w:ascii="方正黑体_GBK" w:hAnsi="方正黑体_GBK" w:eastAsia="方正黑体_GBK" w:cs="宋体"/>
                <w:sz w:val="20"/>
                <w:szCs w:val="24"/>
              </w:rPr>
              <w:t>江苏泗阳农村商业银行股份有限公司</w:t>
            </w:r>
          </w:p>
        </w:tc>
        <w:tc>
          <w:tcPr>
            <w:tcW w:w="4050" w:type="dxa"/>
            <w:tcMar>
              <w:left w:w="120" w:type="dxa"/>
            </w:tcMar>
            <w:vAlign w:val="center"/>
          </w:tcPr>
          <w:p w14:paraId="5E79A665">
            <w:pPr>
              <w:spacing w:line="240" w:lineRule="auto"/>
              <w:rPr>
                <w:sz w:val="28"/>
                <w:szCs w:val="28"/>
              </w:rPr>
            </w:pPr>
            <w:r>
              <w:rPr>
                <w:rFonts w:ascii="方正黑体_GBK" w:hAnsi="方正黑体_GBK" w:eastAsia="方正黑体_GBK" w:cs="宋体"/>
                <w:sz w:val="20"/>
                <w:szCs w:val="24"/>
              </w:rPr>
              <w:t>宿迁市泗阳县众兴镇北京中路21号</w:t>
            </w:r>
          </w:p>
        </w:tc>
        <w:tc>
          <w:tcPr>
            <w:tcW w:w="1350" w:type="dxa"/>
            <w:tcMar>
              <w:left w:w="120" w:type="dxa"/>
            </w:tcMar>
            <w:vAlign w:val="center"/>
          </w:tcPr>
          <w:p w14:paraId="3DC62B5C">
            <w:pPr>
              <w:spacing w:line="240" w:lineRule="auto"/>
              <w:rPr>
                <w:sz w:val="28"/>
                <w:szCs w:val="28"/>
              </w:rPr>
            </w:pPr>
            <w:r>
              <w:rPr>
                <w:rFonts w:ascii="方正黑体_GBK" w:hAnsi="方正黑体_GBK" w:eastAsia="方正黑体_GBK" w:cs="宋体"/>
                <w:sz w:val="20"/>
                <w:szCs w:val="24"/>
              </w:rPr>
              <w:t>96008</w:t>
            </w:r>
          </w:p>
        </w:tc>
      </w:tr>
      <w:tr w14:paraId="7B4C08A8">
        <w:trPr>
          <w:trHeight w:val="300" w:hRule="atLeast"/>
        </w:trPr>
        <w:tc>
          <w:tcPr>
            <w:tcW w:w="2100" w:type="dxa"/>
            <w:tcMar>
              <w:left w:w="120" w:type="dxa"/>
            </w:tcMar>
            <w:vAlign w:val="center"/>
          </w:tcPr>
          <w:p w14:paraId="3BE63750">
            <w:pPr>
              <w:spacing w:line="240" w:lineRule="auto"/>
              <w:rPr>
                <w:sz w:val="28"/>
                <w:szCs w:val="28"/>
              </w:rPr>
            </w:pPr>
            <w:r>
              <w:rPr>
                <w:rFonts w:ascii="方正黑体_GBK" w:hAnsi="方正黑体_GBK" w:eastAsia="方正黑体_GBK" w:cs="宋体"/>
                <w:sz w:val="20"/>
                <w:szCs w:val="24"/>
              </w:rPr>
              <w:t>江苏张家港农村商业银行股份有限公司</w:t>
            </w:r>
          </w:p>
        </w:tc>
        <w:tc>
          <w:tcPr>
            <w:tcW w:w="4050" w:type="dxa"/>
            <w:tcMar>
              <w:left w:w="120" w:type="dxa"/>
            </w:tcMar>
            <w:vAlign w:val="center"/>
          </w:tcPr>
          <w:p w14:paraId="10DA5BDA">
            <w:pPr>
              <w:spacing w:line="240" w:lineRule="auto"/>
              <w:rPr>
                <w:sz w:val="28"/>
                <w:szCs w:val="28"/>
              </w:rPr>
            </w:pPr>
            <w:r>
              <w:rPr>
                <w:rFonts w:ascii="方正黑体_GBK" w:hAnsi="方正黑体_GBK" w:eastAsia="方正黑体_GBK" w:cs="宋体"/>
                <w:sz w:val="20"/>
                <w:szCs w:val="24"/>
              </w:rPr>
              <w:t>张家港市杨舍镇人民中路66号</w:t>
            </w:r>
          </w:p>
        </w:tc>
        <w:tc>
          <w:tcPr>
            <w:tcW w:w="1350" w:type="dxa"/>
            <w:tcMar>
              <w:left w:w="120" w:type="dxa"/>
            </w:tcMar>
            <w:vAlign w:val="center"/>
          </w:tcPr>
          <w:p w14:paraId="0C37B358">
            <w:pPr>
              <w:spacing w:line="240" w:lineRule="auto"/>
              <w:rPr>
                <w:sz w:val="28"/>
                <w:szCs w:val="28"/>
              </w:rPr>
            </w:pPr>
            <w:r>
              <w:rPr>
                <w:rFonts w:ascii="方正黑体_GBK" w:hAnsi="方正黑体_GBK" w:eastAsia="方正黑体_GBK" w:cs="宋体"/>
                <w:sz w:val="20"/>
                <w:szCs w:val="24"/>
              </w:rPr>
              <w:t>96065</w:t>
            </w:r>
          </w:p>
        </w:tc>
      </w:tr>
      <w:tr w14:paraId="19989F67">
        <w:trPr>
          <w:trHeight w:val="300" w:hRule="atLeast"/>
        </w:trPr>
        <w:tc>
          <w:tcPr>
            <w:tcW w:w="2100" w:type="dxa"/>
            <w:tcMar>
              <w:left w:w="120" w:type="dxa"/>
            </w:tcMar>
            <w:vAlign w:val="center"/>
          </w:tcPr>
          <w:p w14:paraId="7E48A2B6">
            <w:pPr>
              <w:spacing w:line="240" w:lineRule="auto"/>
              <w:rPr>
                <w:sz w:val="28"/>
                <w:szCs w:val="28"/>
              </w:rPr>
            </w:pPr>
            <w:r>
              <w:rPr>
                <w:rFonts w:ascii="方正黑体_GBK" w:hAnsi="方正黑体_GBK" w:eastAsia="方正黑体_GBK" w:cs="宋体"/>
                <w:sz w:val="20"/>
                <w:szCs w:val="24"/>
              </w:rPr>
              <w:t>江苏江阴农村商业银行股份有限公司</w:t>
            </w:r>
          </w:p>
        </w:tc>
        <w:tc>
          <w:tcPr>
            <w:tcW w:w="4050" w:type="dxa"/>
            <w:tcMar>
              <w:left w:w="120" w:type="dxa"/>
            </w:tcMar>
            <w:vAlign w:val="center"/>
          </w:tcPr>
          <w:p w14:paraId="550CF19F">
            <w:pPr>
              <w:spacing w:line="240" w:lineRule="auto"/>
              <w:rPr>
                <w:sz w:val="28"/>
                <w:szCs w:val="28"/>
              </w:rPr>
            </w:pPr>
            <w:r>
              <w:rPr>
                <w:rFonts w:ascii="方正黑体_GBK" w:hAnsi="方正黑体_GBK" w:eastAsia="方正黑体_GBK" w:cs="宋体"/>
                <w:sz w:val="20"/>
                <w:szCs w:val="24"/>
              </w:rPr>
              <w:t>江阴市澄江中路1号</w:t>
            </w:r>
          </w:p>
        </w:tc>
        <w:tc>
          <w:tcPr>
            <w:tcW w:w="1350" w:type="dxa"/>
            <w:tcMar>
              <w:left w:w="120" w:type="dxa"/>
            </w:tcMar>
            <w:vAlign w:val="center"/>
          </w:tcPr>
          <w:p w14:paraId="71BDB096">
            <w:pPr>
              <w:spacing w:line="240" w:lineRule="auto"/>
              <w:rPr>
                <w:sz w:val="28"/>
                <w:szCs w:val="28"/>
              </w:rPr>
            </w:pPr>
            <w:r>
              <w:rPr>
                <w:rFonts w:ascii="方正黑体_GBK" w:hAnsi="方正黑体_GBK" w:eastAsia="方正黑体_GBK" w:cs="宋体"/>
                <w:sz w:val="20"/>
                <w:szCs w:val="24"/>
              </w:rPr>
              <w:t>96078</w:t>
            </w:r>
          </w:p>
        </w:tc>
      </w:tr>
      <w:tr w14:paraId="1D98BF8F">
        <w:trPr>
          <w:trHeight w:val="300" w:hRule="atLeast"/>
        </w:trPr>
        <w:tc>
          <w:tcPr>
            <w:tcW w:w="2100" w:type="dxa"/>
            <w:tcMar>
              <w:left w:w="120" w:type="dxa"/>
            </w:tcMar>
            <w:vAlign w:val="center"/>
          </w:tcPr>
          <w:p w14:paraId="284E12DE">
            <w:pPr>
              <w:spacing w:line="240" w:lineRule="auto"/>
              <w:rPr>
                <w:sz w:val="28"/>
                <w:szCs w:val="28"/>
              </w:rPr>
            </w:pPr>
            <w:r>
              <w:rPr>
                <w:rFonts w:ascii="方正黑体_GBK" w:hAnsi="方正黑体_GBK" w:eastAsia="方正黑体_GBK" w:cs="宋体"/>
                <w:sz w:val="20"/>
                <w:szCs w:val="24"/>
              </w:rPr>
              <w:t>江苏东海农村商业银行股份有限公司</w:t>
            </w:r>
          </w:p>
        </w:tc>
        <w:tc>
          <w:tcPr>
            <w:tcW w:w="4050" w:type="dxa"/>
            <w:tcMar>
              <w:left w:w="120" w:type="dxa"/>
            </w:tcMar>
            <w:vAlign w:val="center"/>
          </w:tcPr>
          <w:p w14:paraId="02C6D1DA">
            <w:pPr>
              <w:spacing w:line="240" w:lineRule="auto"/>
              <w:rPr>
                <w:sz w:val="28"/>
                <w:szCs w:val="28"/>
              </w:rPr>
            </w:pPr>
            <w:r>
              <w:rPr>
                <w:rFonts w:ascii="方正黑体_GBK" w:hAnsi="方正黑体_GBK" w:eastAsia="方正黑体_GBK" w:cs="宋体"/>
                <w:sz w:val="20"/>
                <w:szCs w:val="24"/>
              </w:rPr>
              <w:t>连云港市东海县牛山镇海陵东路8号</w:t>
            </w:r>
          </w:p>
        </w:tc>
        <w:tc>
          <w:tcPr>
            <w:tcW w:w="1350" w:type="dxa"/>
            <w:tcMar>
              <w:left w:w="120" w:type="dxa"/>
            </w:tcMar>
            <w:vAlign w:val="center"/>
          </w:tcPr>
          <w:p w14:paraId="05768DA6">
            <w:pPr>
              <w:spacing w:line="240" w:lineRule="auto"/>
              <w:rPr>
                <w:sz w:val="28"/>
                <w:szCs w:val="28"/>
              </w:rPr>
            </w:pPr>
            <w:r>
              <w:rPr>
                <w:rFonts w:ascii="方正黑体_GBK" w:hAnsi="方正黑体_GBK" w:eastAsia="方正黑体_GBK" w:cs="宋体"/>
                <w:sz w:val="20"/>
                <w:szCs w:val="24"/>
              </w:rPr>
              <w:t>96008</w:t>
            </w:r>
          </w:p>
        </w:tc>
      </w:tr>
      <w:tr w14:paraId="7E515F03">
        <w:trPr>
          <w:trHeight w:val="300" w:hRule="atLeast"/>
        </w:trPr>
        <w:tc>
          <w:tcPr>
            <w:tcW w:w="2100" w:type="dxa"/>
            <w:tcMar>
              <w:left w:w="120" w:type="dxa"/>
            </w:tcMar>
            <w:vAlign w:val="center"/>
          </w:tcPr>
          <w:p w14:paraId="1E16EAB4">
            <w:pPr>
              <w:spacing w:line="240" w:lineRule="auto"/>
              <w:rPr>
                <w:sz w:val="28"/>
                <w:szCs w:val="28"/>
              </w:rPr>
            </w:pPr>
            <w:r>
              <w:rPr>
                <w:rFonts w:ascii="方正黑体_GBK" w:hAnsi="方正黑体_GBK" w:eastAsia="方正黑体_GBK" w:cs="宋体"/>
                <w:sz w:val="20"/>
                <w:szCs w:val="24"/>
              </w:rPr>
              <w:t>江苏高邮农村商业银行股份有限公司</w:t>
            </w:r>
          </w:p>
        </w:tc>
        <w:tc>
          <w:tcPr>
            <w:tcW w:w="4050" w:type="dxa"/>
            <w:tcMar>
              <w:left w:w="120" w:type="dxa"/>
            </w:tcMar>
            <w:vAlign w:val="center"/>
          </w:tcPr>
          <w:p w14:paraId="71F2AAF4">
            <w:pPr>
              <w:spacing w:line="240" w:lineRule="auto"/>
              <w:rPr>
                <w:sz w:val="28"/>
                <w:szCs w:val="28"/>
              </w:rPr>
            </w:pPr>
            <w:r>
              <w:rPr>
                <w:rFonts w:ascii="方正黑体_GBK" w:hAnsi="方正黑体_GBK" w:eastAsia="方正黑体_GBK" w:cs="宋体"/>
                <w:sz w:val="20"/>
                <w:szCs w:val="24"/>
              </w:rPr>
              <w:t>高邮市文游中路28号</w:t>
            </w:r>
          </w:p>
        </w:tc>
        <w:tc>
          <w:tcPr>
            <w:tcW w:w="1350" w:type="dxa"/>
            <w:tcMar>
              <w:left w:w="120" w:type="dxa"/>
            </w:tcMar>
            <w:vAlign w:val="center"/>
          </w:tcPr>
          <w:p w14:paraId="09A0D325">
            <w:pPr>
              <w:spacing w:line="240" w:lineRule="auto"/>
              <w:rPr>
                <w:sz w:val="28"/>
                <w:szCs w:val="28"/>
              </w:rPr>
            </w:pPr>
            <w:r>
              <w:rPr>
                <w:rFonts w:ascii="方正黑体_GBK" w:hAnsi="方正黑体_GBK" w:eastAsia="方正黑体_GBK" w:cs="宋体"/>
                <w:sz w:val="20"/>
                <w:szCs w:val="24"/>
              </w:rPr>
              <w:t>96008</w:t>
            </w:r>
          </w:p>
        </w:tc>
      </w:tr>
      <w:tr w14:paraId="58E82CFC">
        <w:trPr>
          <w:trHeight w:val="300" w:hRule="atLeast"/>
        </w:trPr>
        <w:tc>
          <w:tcPr>
            <w:tcW w:w="2100" w:type="dxa"/>
            <w:tcMar>
              <w:left w:w="120" w:type="dxa"/>
            </w:tcMar>
            <w:vAlign w:val="center"/>
          </w:tcPr>
          <w:p w14:paraId="6F43CE4B">
            <w:pPr>
              <w:spacing w:line="240" w:lineRule="auto"/>
              <w:rPr>
                <w:sz w:val="28"/>
                <w:szCs w:val="28"/>
              </w:rPr>
            </w:pPr>
            <w:r>
              <w:rPr>
                <w:rFonts w:ascii="方正黑体_GBK" w:hAnsi="方正黑体_GBK" w:eastAsia="方正黑体_GBK" w:cs="宋体"/>
                <w:sz w:val="20"/>
                <w:szCs w:val="24"/>
              </w:rPr>
              <w:t>乌鲁木齐银行股份有限公司</w:t>
            </w:r>
          </w:p>
        </w:tc>
        <w:tc>
          <w:tcPr>
            <w:tcW w:w="4050" w:type="dxa"/>
            <w:tcMar>
              <w:left w:w="120" w:type="dxa"/>
            </w:tcMar>
            <w:vAlign w:val="center"/>
          </w:tcPr>
          <w:p w14:paraId="742E0C4F">
            <w:pPr>
              <w:spacing w:line="240" w:lineRule="auto"/>
              <w:rPr>
                <w:sz w:val="28"/>
                <w:szCs w:val="28"/>
              </w:rPr>
            </w:pPr>
            <w:r>
              <w:rPr>
                <w:rFonts w:ascii="方正黑体_GBK" w:hAnsi="方正黑体_GBK" w:eastAsia="方正黑体_GBK" w:cs="宋体"/>
                <w:sz w:val="20"/>
                <w:szCs w:val="24"/>
              </w:rPr>
              <w:t>新疆乌鲁木齐市水磨沟区会展大道 599 号新疆财富中心 A 座 4-31 层</w:t>
            </w:r>
          </w:p>
        </w:tc>
        <w:tc>
          <w:tcPr>
            <w:tcW w:w="1350" w:type="dxa"/>
            <w:tcMar>
              <w:left w:w="120" w:type="dxa"/>
            </w:tcMar>
            <w:vAlign w:val="center"/>
          </w:tcPr>
          <w:p w14:paraId="1012EA3C">
            <w:pPr>
              <w:spacing w:line="240" w:lineRule="auto"/>
              <w:rPr>
                <w:sz w:val="28"/>
                <w:szCs w:val="28"/>
              </w:rPr>
            </w:pPr>
            <w:r>
              <w:rPr>
                <w:rFonts w:ascii="方正黑体_GBK" w:hAnsi="方正黑体_GBK" w:eastAsia="方正黑体_GBK" w:cs="宋体"/>
                <w:sz w:val="20"/>
                <w:szCs w:val="24"/>
              </w:rPr>
              <w:t>0991-96518</w:t>
            </w:r>
          </w:p>
        </w:tc>
      </w:tr>
      <w:tr w14:paraId="31DF97E6">
        <w:trPr>
          <w:trHeight w:val="300" w:hRule="atLeast"/>
        </w:trPr>
        <w:tc>
          <w:tcPr>
            <w:tcW w:w="2100" w:type="dxa"/>
            <w:tcMar>
              <w:left w:w="120" w:type="dxa"/>
            </w:tcMar>
            <w:vAlign w:val="center"/>
          </w:tcPr>
          <w:p w14:paraId="09FA1FB7">
            <w:pPr>
              <w:spacing w:line="240" w:lineRule="auto"/>
              <w:rPr>
                <w:sz w:val="28"/>
                <w:szCs w:val="28"/>
              </w:rPr>
            </w:pPr>
            <w:r>
              <w:rPr>
                <w:rFonts w:ascii="方正黑体_GBK" w:hAnsi="方正黑体_GBK" w:eastAsia="方正黑体_GBK" w:cs="宋体"/>
                <w:sz w:val="20"/>
                <w:szCs w:val="24"/>
              </w:rPr>
              <w:t>河北银行股份有限公司</w:t>
            </w:r>
          </w:p>
        </w:tc>
        <w:tc>
          <w:tcPr>
            <w:tcW w:w="4050" w:type="dxa"/>
            <w:tcMar>
              <w:left w:w="120" w:type="dxa"/>
            </w:tcMar>
            <w:vAlign w:val="center"/>
          </w:tcPr>
          <w:p w14:paraId="65521AF2">
            <w:pPr>
              <w:spacing w:line="240" w:lineRule="auto"/>
              <w:rPr>
                <w:sz w:val="28"/>
                <w:szCs w:val="28"/>
              </w:rPr>
            </w:pPr>
            <w:r>
              <w:rPr>
                <w:rFonts w:ascii="方正黑体_GBK" w:hAnsi="方正黑体_GBK" w:eastAsia="方正黑体_GBK" w:cs="宋体"/>
                <w:sz w:val="20"/>
                <w:szCs w:val="24"/>
              </w:rPr>
              <w:t>河北省石家庄市平安北大街 28 号</w:t>
            </w:r>
          </w:p>
        </w:tc>
        <w:tc>
          <w:tcPr>
            <w:tcW w:w="1350" w:type="dxa"/>
            <w:tcMar>
              <w:left w:w="120" w:type="dxa"/>
            </w:tcMar>
            <w:vAlign w:val="center"/>
          </w:tcPr>
          <w:p w14:paraId="3CDC893A">
            <w:pPr>
              <w:spacing w:line="240" w:lineRule="auto"/>
              <w:rPr>
                <w:sz w:val="28"/>
                <w:szCs w:val="28"/>
              </w:rPr>
            </w:pPr>
            <w:r>
              <w:rPr>
                <w:rFonts w:ascii="方正黑体_GBK" w:hAnsi="方正黑体_GBK" w:eastAsia="方正黑体_GBK" w:cs="宋体"/>
                <w:sz w:val="20"/>
                <w:szCs w:val="24"/>
              </w:rPr>
              <w:t>400-612-9999</w:t>
            </w:r>
          </w:p>
        </w:tc>
      </w:tr>
      <w:tr w14:paraId="5AA961AD">
        <w:trPr>
          <w:trHeight w:val="300" w:hRule="atLeast"/>
        </w:trPr>
        <w:tc>
          <w:tcPr>
            <w:tcW w:w="2100" w:type="dxa"/>
            <w:tcMar>
              <w:left w:w="120" w:type="dxa"/>
            </w:tcMar>
            <w:vAlign w:val="center"/>
          </w:tcPr>
          <w:p w14:paraId="75AC43DA">
            <w:pPr>
              <w:spacing w:line="240" w:lineRule="auto"/>
              <w:rPr>
                <w:sz w:val="28"/>
                <w:szCs w:val="28"/>
              </w:rPr>
            </w:pPr>
            <w:r>
              <w:rPr>
                <w:rFonts w:ascii="方正黑体_GBK" w:hAnsi="方正黑体_GBK" w:eastAsia="方正黑体_GBK" w:cs="宋体"/>
                <w:sz w:val="20"/>
                <w:szCs w:val="24"/>
              </w:rPr>
              <w:t>郑州银行股份有限公司</w:t>
            </w:r>
          </w:p>
        </w:tc>
        <w:tc>
          <w:tcPr>
            <w:tcW w:w="4050" w:type="dxa"/>
            <w:tcMar>
              <w:left w:w="120" w:type="dxa"/>
            </w:tcMar>
            <w:vAlign w:val="center"/>
          </w:tcPr>
          <w:p w14:paraId="6D921C76">
            <w:pPr>
              <w:spacing w:line="240" w:lineRule="auto"/>
              <w:rPr>
                <w:sz w:val="28"/>
                <w:szCs w:val="28"/>
              </w:rPr>
            </w:pPr>
            <w:r>
              <w:rPr>
                <w:rFonts w:ascii="方正黑体_GBK" w:hAnsi="方正黑体_GBK" w:eastAsia="方正黑体_GBK" w:cs="宋体"/>
                <w:sz w:val="20"/>
                <w:szCs w:val="24"/>
              </w:rPr>
              <w:t>郑州市郑东新区商务外环路22号</w:t>
            </w:r>
          </w:p>
        </w:tc>
        <w:tc>
          <w:tcPr>
            <w:tcW w:w="1350" w:type="dxa"/>
            <w:tcMar>
              <w:left w:w="120" w:type="dxa"/>
            </w:tcMar>
            <w:vAlign w:val="center"/>
          </w:tcPr>
          <w:p w14:paraId="30B2A164">
            <w:pPr>
              <w:spacing w:line="240" w:lineRule="auto"/>
              <w:rPr>
                <w:sz w:val="28"/>
                <w:szCs w:val="28"/>
              </w:rPr>
            </w:pPr>
            <w:r>
              <w:rPr>
                <w:rFonts w:ascii="方正黑体_GBK" w:hAnsi="方正黑体_GBK" w:eastAsia="方正黑体_GBK" w:cs="宋体"/>
                <w:sz w:val="20"/>
                <w:szCs w:val="24"/>
              </w:rPr>
              <w:t>95097</w:t>
            </w:r>
          </w:p>
        </w:tc>
      </w:tr>
      <w:tr w14:paraId="761D41A1">
        <w:trPr>
          <w:trHeight w:val="300" w:hRule="atLeast"/>
        </w:trPr>
        <w:tc>
          <w:tcPr>
            <w:tcW w:w="2100" w:type="dxa"/>
            <w:tcMar>
              <w:left w:w="120" w:type="dxa"/>
            </w:tcMar>
            <w:vAlign w:val="center"/>
          </w:tcPr>
          <w:p w14:paraId="4CFE86D5">
            <w:pPr>
              <w:spacing w:line="240" w:lineRule="auto"/>
              <w:rPr>
                <w:sz w:val="28"/>
                <w:szCs w:val="28"/>
              </w:rPr>
            </w:pPr>
            <w:r>
              <w:rPr>
                <w:rFonts w:ascii="方正黑体_GBK" w:hAnsi="方正黑体_GBK" w:eastAsia="方正黑体_GBK" w:cs="宋体"/>
                <w:sz w:val="20"/>
                <w:szCs w:val="24"/>
              </w:rPr>
              <w:t>江苏姜堰农村商业银行股份有限公司</w:t>
            </w:r>
          </w:p>
        </w:tc>
        <w:tc>
          <w:tcPr>
            <w:tcW w:w="4050" w:type="dxa"/>
            <w:tcMar>
              <w:left w:w="120" w:type="dxa"/>
            </w:tcMar>
            <w:vAlign w:val="center"/>
          </w:tcPr>
          <w:p w14:paraId="2D7C3B35">
            <w:pPr>
              <w:spacing w:line="240" w:lineRule="auto"/>
              <w:rPr>
                <w:sz w:val="28"/>
                <w:szCs w:val="28"/>
              </w:rPr>
            </w:pPr>
            <w:r>
              <w:rPr>
                <w:rFonts w:ascii="方正黑体_GBK" w:hAnsi="方正黑体_GBK" w:eastAsia="方正黑体_GBK" w:cs="宋体"/>
                <w:sz w:val="20"/>
                <w:szCs w:val="24"/>
              </w:rPr>
              <w:t>泰州市姜堰区姜堰大道128号</w:t>
            </w:r>
          </w:p>
        </w:tc>
        <w:tc>
          <w:tcPr>
            <w:tcW w:w="1350" w:type="dxa"/>
            <w:tcMar>
              <w:left w:w="120" w:type="dxa"/>
            </w:tcMar>
            <w:vAlign w:val="center"/>
          </w:tcPr>
          <w:p w14:paraId="2A0ABDFF">
            <w:pPr>
              <w:spacing w:line="240" w:lineRule="auto"/>
              <w:rPr>
                <w:sz w:val="28"/>
                <w:szCs w:val="28"/>
              </w:rPr>
            </w:pPr>
            <w:r>
              <w:rPr>
                <w:rFonts w:ascii="方正黑体_GBK" w:hAnsi="方正黑体_GBK" w:eastAsia="方正黑体_GBK" w:cs="宋体"/>
                <w:sz w:val="20"/>
                <w:szCs w:val="24"/>
              </w:rPr>
              <w:t>96008</w:t>
            </w:r>
          </w:p>
        </w:tc>
      </w:tr>
      <w:tr w14:paraId="7F749877">
        <w:trPr>
          <w:trHeight w:val="300" w:hRule="atLeast"/>
        </w:trPr>
        <w:tc>
          <w:tcPr>
            <w:tcW w:w="2100" w:type="dxa"/>
            <w:tcMar>
              <w:left w:w="120" w:type="dxa"/>
            </w:tcMar>
            <w:vAlign w:val="center"/>
          </w:tcPr>
          <w:p w14:paraId="52A196E0">
            <w:pPr>
              <w:spacing w:line="240" w:lineRule="auto"/>
              <w:rPr>
                <w:sz w:val="28"/>
                <w:szCs w:val="28"/>
              </w:rPr>
            </w:pPr>
            <w:r>
              <w:rPr>
                <w:rFonts w:ascii="方正黑体_GBK" w:hAnsi="方正黑体_GBK" w:eastAsia="方正黑体_GBK" w:cs="宋体"/>
                <w:sz w:val="20"/>
                <w:szCs w:val="24"/>
              </w:rPr>
              <w:t>山西银行股份有限公司</w:t>
            </w:r>
          </w:p>
        </w:tc>
        <w:tc>
          <w:tcPr>
            <w:tcW w:w="4050" w:type="dxa"/>
            <w:tcMar>
              <w:left w:w="120" w:type="dxa"/>
            </w:tcMar>
            <w:vAlign w:val="center"/>
          </w:tcPr>
          <w:p w14:paraId="0330CB2C">
            <w:pPr>
              <w:spacing w:line="240" w:lineRule="auto"/>
              <w:rPr>
                <w:sz w:val="28"/>
                <w:szCs w:val="28"/>
              </w:rPr>
            </w:pPr>
            <w:r>
              <w:rPr>
                <w:rFonts w:ascii="方正黑体_GBK" w:hAnsi="方正黑体_GBK" w:eastAsia="方正黑体_GBK" w:cs="宋体"/>
                <w:sz w:val="20"/>
                <w:szCs w:val="24"/>
              </w:rPr>
              <w:t>山西转型综合改革示范区学府产业园高新街15号</w:t>
            </w:r>
          </w:p>
        </w:tc>
        <w:tc>
          <w:tcPr>
            <w:tcW w:w="1350" w:type="dxa"/>
            <w:tcMar>
              <w:left w:w="120" w:type="dxa"/>
            </w:tcMar>
            <w:vAlign w:val="center"/>
          </w:tcPr>
          <w:p w14:paraId="75349BDE">
            <w:pPr>
              <w:spacing w:line="240" w:lineRule="auto"/>
              <w:rPr>
                <w:sz w:val="28"/>
                <w:szCs w:val="28"/>
              </w:rPr>
            </w:pPr>
            <w:r>
              <w:rPr>
                <w:rFonts w:ascii="方正黑体_GBK" w:hAnsi="方正黑体_GBK" w:eastAsia="方正黑体_GBK" w:cs="宋体"/>
                <w:sz w:val="20"/>
                <w:szCs w:val="24"/>
              </w:rPr>
              <w:t>0351-96588</w:t>
            </w:r>
          </w:p>
        </w:tc>
      </w:tr>
      <w:tr w14:paraId="05EC1759">
        <w:trPr>
          <w:trHeight w:val="300" w:hRule="atLeast"/>
        </w:trPr>
        <w:tc>
          <w:tcPr>
            <w:tcW w:w="2100" w:type="dxa"/>
            <w:tcMar>
              <w:left w:w="120" w:type="dxa"/>
            </w:tcMar>
            <w:vAlign w:val="center"/>
          </w:tcPr>
          <w:p w14:paraId="308AD5A2">
            <w:pPr>
              <w:spacing w:line="240" w:lineRule="auto"/>
              <w:rPr>
                <w:sz w:val="28"/>
                <w:szCs w:val="28"/>
              </w:rPr>
            </w:pPr>
            <w:r>
              <w:rPr>
                <w:rFonts w:ascii="方正黑体_GBK" w:hAnsi="方正黑体_GBK" w:eastAsia="方正黑体_GBK" w:cs="宋体"/>
                <w:sz w:val="20"/>
                <w:szCs w:val="24"/>
              </w:rPr>
              <w:t>江苏如东农村商业银行股份有限公司</w:t>
            </w:r>
          </w:p>
        </w:tc>
        <w:tc>
          <w:tcPr>
            <w:tcW w:w="4050" w:type="dxa"/>
            <w:tcMar>
              <w:left w:w="120" w:type="dxa"/>
            </w:tcMar>
            <w:vAlign w:val="center"/>
          </w:tcPr>
          <w:p w14:paraId="6F541E0D">
            <w:pPr>
              <w:spacing w:line="240" w:lineRule="auto"/>
              <w:rPr>
                <w:sz w:val="28"/>
                <w:szCs w:val="28"/>
              </w:rPr>
            </w:pPr>
            <w:r>
              <w:rPr>
                <w:rFonts w:ascii="方正黑体_GBK" w:hAnsi="方正黑体_GBK" w:eastAsia="方正黑体_GBK" w:cs="宋体"/>
                <w:sz w:val="20"/>
                <w:szCs w:val="24"/>
              </w:rPr>
              <w:t>江苏省如东县掘港镇钟山路66号</w:t>
            </w:r>
          </w:p>
        </w:tc>
        <w:tc>
          <w:tcPr>
            <w:tcW w:w="1350" w:type="dxa"/>
            <w:tcMar>
              <w:left w:w="120" w:type="dxa"/>
            </w:tcMar>
            <w:vAlign w:val="center"/>
          </w:tcPr>
          <w:p w14:paraId="1B91D75F">
            <w:pPr>
              <w:spacing w:line="240" w:lineRule="auto"/>
              <w:rPr>
                <w:sz w:val="28"/>
                <w:szCs w:val="28"/>
              </w:rPr>
            </w:pPr>
            <w:r>
              <w:rPr>
                <w:rFonts w:ascii="方正黑体_GBK" w:hAnsi="方正黑体_GBK" w:eastAsia="方正黑体_GBK" w:cs="宋体"/>
                <w:sz w:val="20"/>
                <w:szCs w:val="24"/>
              </w:rPr>
              <w:t>96008</w:t>
            </w:r>
          </w:p>
        </w:tc>
      </w:tr>
      <w:tr w14:paraId="3DC630D3">
        <w:trPr>
          <w:trHeight w:val="300" w:hRule="atLeast"/>
        </w:trPr>
        <w:tc>
          <w:tcPr>
            <w:tcW w:w="2100" w:type="dxa"/>
            <w:tcMar>
              <w:left w:w="120" w:type="dxa"/>
            </w:tcMar>
            <w:vAlign w:val="center"/>
          </w:tcPr>
          <w:p w14:paraId="700A46F1">
            <w:pPr>
              <w:spacing w:line="240" w:lineRule="auto"/>
              <w:rPr>
                <w:sz w:val="28"/>
                <w:szCs w:val="28"/>
              </w:rPr>
            </w:pPr>
            <w:r>
              <w:rPr>
                <w:rFonts w:ascii="方正黑体_GBK" w:hAnsi="方正黑体_GBK" w:eastAsia="方正黑体_GBK" w:cs="宋体"/>
                <w:sz w:val="20"/>
                <w:szCs w:val="24"/>
              </w:rPr>
              <w:t>北京银行股份有限公司</w:t>
            </w:r>
          </w:p>
        </w:tc>
        <w:tc>
          <w:tcPr>
            <w:tcW w:w="4050" w:type="dxa"/>
            <w:tcMar>
              <w:left w:w="120" w:type="dxa"/>
            </w:tcMar>
            <w:vAlign w:val="center"/>
          </w:tcPr>
          <w:p w14:paraId="34076A31">
            <w:pPr>
              <w:spacing w:line="240" w:lineRule="auto"/>
              <w:rPr>
                <w:sz w:val="28"/>
                <w:szCs w:val="28"/>
              </w:rPr>
            </w:pPr>
            <w:r>
              <w:rPr>
                <w:rFonts w:ascii="方正黑体_GBK" w:hAnsi="方正黑体_GBK" w:eastAsia="方正黑体_GBK" w:cs="宋体"/>
                <w:sz w:val="20"/>
                <w:szCs w:val="24"/>
              </w:rPr>
              <w:t>北京市西城区金融大街甲17号首层</w:t>
            </w:r>
          </w:p>
        </w:tc>
        <w:tc>
          <w:tcPr>
            <w:tcW w:w="1350" w:type="dxa"/>
            <w:tcMar>
              <w:left w:w="120" w:type="dxa"/>
            </w:tcMar>
            <w:vAlign w:val="center"/>
          </w:tcPr>
          <w:p w14:paraId="5F2618A3">
            <w:pPr>
              <w:spacing w:line="240" w:lineRule="auto"/>
              <w:rPr>
                <w:sz w:val="28"/>
                <w:szCs w:val="28"/>
              </w:rPr>
            </w:pPr>
            <w:r>
              <w:rPr>
                <w:rFonts w:ascii="方正黑体_GBK" w:hAnsi="方正黑体_GBK" w:eastAsia="方正黑体_GBK" w:cs="宋体"/>
                <w:sz w:val="20"/>
                <w:szCs w:val="24"/>
              </w:rPr>
              <w:t>010-66426500</w:t>
            </w:r>
          </w:p>
        </w:tc>
      </w:tr>
      <w:tr w14:paraId="627FB84E">
        <w:trPr>
          <w:trHeight w:val="300" w:hRule="atLeast"/>
        </w:trPr>
        <w:tc>
          <w:tcPr>
            <w:tcW w:w="2100" w:type="dxa"/>
            <w:tcMar>
              <w:left w:w="120" w:type="dxa"/>
            </w:tcMar>
            <w:vAlign w:val="center"/>
          </w:tcPr>
          <w:p w14:paraId="723AC73F">
            <w:pPr>
              <w:spacing w:line="240" w:lineRule="auto"/>
              <w:rPr>
                <w:sz w:val="28"/>
                <w:szCs w:val="28"/>
              </w:rPr>
            </w:pPr>
            <w:r>
              <w:rPr>
                <w:rFonts w:ascii="方正黑体_GBK" w:hAnsi="方正黑体_GBK" w:eastAsia="方正黑体_GBK" w:cs="宋体"/>
                <w:sz w:val="20"/>
                <w:szCs w:val="24"/>
              </w:rPr>
              <w:t>哈密市商业银行股份有限公司</w:t>
            </w:r>
          </w:p>
        </w:tc>
        <w:tc>
          <w:tcPr>
            <w:tcW w:w="4050" w:type="dxa"/>
            <w:tcMar>
              <w:left w:w="120" w:type="dxa"/>
            </w:tcMar>
            <w:vAlign w:val="center"/>
          </w:tcPr>
          <w:p w14:paraId="582742BF">
            <w:pPr>
              <w:spacing w:line="240" w:lineRule="auto"/>
              <w:rPr>
                <w:sz w:val="28"/>
                <w:szCs w:val="28"/>
              </w:rPr>
            </w:pPr>
            <w:r>
              <w:rPr>
                <w:rFonts w:ascii="方正黑体_GBK" w:hAnsi="方正黑体_GBK" w:eastAsia="方正黑体_GBK" w:cs="宋体"/>
                <w:sz w:val="20"/>
                <w:szCs w:val="24"/>
              </w:rPr>
              <w:t>新疆哈密市伊州区天山北路 52 号</w:t>
            </w:r>
          </w:p>
        </w:tc>
        <w:tc>
          <w:tcPr>
            <w:tcW w:w="1350" w:type="dxa"/>
            <w:tcMar>
              <w:left w:w="120" w:type="dxa"/>
            </w:tcMar>
            <w:vAlign w:val="center"/>
          </w:tcPr>
          <w:p w14:paraId="57AE918E">
            <w:pPr>
              <w:spacing w:line="240" w:lineRule="auto"/>
              <w:rPr>
                <w:sz w:val="28"/>
                <w:szCs w:val="28"/>
              </w:rPr>
            </w:pPr>
            <w:r>
              <w:rPr>
                <w:rFonts w:ascii="方正黑体_GBK" w:hAnsi="方正黑体_GBK" w:eastAsia="方正黑体_GBK" w:cs="宋体"/>
                <w:sz w:val="20"/>
                <w:szCs w:val="24"/>
              </w:rPr>
              <w:t>0902-2365320</w:t>
            </w:r>
          </w:p>
        </w:tc>
      </w:tr>
      <w:tr w14:paraId="4B9AC207">
        <w:trPr>
          <w:trHeight w:val="300" w:hRule="atLeast"/>
        </w:trPr>
        <w:tc>
          <w:tcPr>
            <w:tcW w:w="2100" w:type="dxa"/>
            <w:tcMar>
              <w:left w:w="120" w:type="dxa"/>
            </w:tcMar>
            <w:vAlign w:val="center"/>
          </w:tcPr>
          <w:p w14:paraId="79D86373">
            <w:pPr>
              <w:spacing w:line="240" w:lineRule="auto"/>
              <w:rPr>
                <w:sz w:val="28"/>
                <w:szCs w:val="28"/>
              </w:rPr>
            </w:pPr>
            <w:r>
              <w:rPr>
                <w:rFonts w:ascii="方正黑体_GBK" w:hAnsi="方正黑体_GBK" w:eastAsia="方正黑体_GBK" w:cs="宋体"/>
                <w:sz w:val="20"/>
                <w:szCs w:val="24"/>
              </w:rPr>
              <w:t>江苏赣榆农村商业银行股份有限公司</w:t>
            </w:r>
          </w:p>
        </w:tc>
        <w:tc>
          <w:tcPr>
            <w:tcW w:w="4050" w:type="dxa"/>
            <w:tcMar>
              <w:left w:w="120" w:type="dxa"/>
            </w:tcMar>
            <w:vAlign w:val="center"/>
          </w:tcPr>
          <w:p w14:paraId="363F69EA">
            <w:pPr>
              <w:spacing w:line="240" w:lineRule="auto"/>
              <w:rPr>
                <w:sz w:val="28"/>
                <w:szCs w:val="28"/>
              </w:rPr>
            </w:pPr>
            <w:r>
              <w:rPr>
                <w:rFonts w:ascii="方正黑体_GBK" w:hAnsi="方正黑体_GBK" w:eastAsia="方正黑体_GBK" w:cs="宋体"/>
                <w:sz w:val="20"/>
                <w:szCs w:val="24"/>
              </w:rPr>
              <w:t>连云港市赣榆区黄海东路304号</w:t>
            </w:r>
          </w:p>
        </w:tc>
        <w:tc>
          <w:tcPr>
            <w:tcW w:w="1350" w:type="dxa"/>
            <w:tcMar>
              <w:left w:w="120" w:type="dxa"/>
            </w:tcMar>
            <w:vAlign w:val="center"/>
          </w:tcPr>
          <w:p w14:paraId="6BBBA469">
            <w:pPr>
              <w:spacing w:line="240" w:lineRule="auto"/>
              <w:rPr>
                <w:sz w:val="28"/>
                <w:szCs w:val="28"/>
              </w:rPr>
            </w:pPr>
            <w:r>
              <w:rPr>
                <w:rFonts w:ascii="方正黑体_GBK" w:hAnsi="方正黑体_GBK" w:eastAsia="方正黑体_GBK" w:cs="宋体"/>
                <w:sz w:val="20"/>
                <w:szCs w:val="24"/>
              </w:rPr>
              <w:t>96008</w:t>
            </w:r>
          </w:p>
        </w:tc>
      </w:tr>
      <w:tr w14:paraId="7B176EF1">
        <w:trPr>
          <w:trHeight w:val="300" w:hRule="atLeast"/>
        </w:trPr>
        <w:tc>
          <w:tcPr>
            <w:tcW w:w="2100" w:type="dxa"/>
            <w:tcMar>
              <w:left w:w="120" w:type="dxa"/>
            </w:tcMar>
            <w:vAlign w:val="center"/>
          </w:tcPr>
          <w:p w14:paraId="0884B384">
            <w:pPr>
              <w:spacing w:line="240" w:lineRule="auto"/>
              <w:rPr>
                <w:sz w:val="28"/>
                <w:szCs w:val="28"/>
              </w:rPr>
            </w:pPr>
            <w:r>
              <w:rPr>
                <w:rFonts w:ascii="方正黑体_GBK" w:hAnsi="方正黑体_GBK" w:eastAsia="方正黑体_GBK" w:cs="宋体"/>
                <w:sz w:val="20"/>
                <w:szCs w:val="24"/>
              </w:rPr>
              <w:t>江苏盱眙农村商业银行股份有限公司</w:t>
            </w:r>
          </w:p>
        </w:tc>
        <w:tc>
          <w:tcPr>
            <w:tcW w:w="4050" w:type="dxa"/>
            <w:tcMar>
              <w:left w:w="120" w:type="dxa"/>
            </w:tcMar>
            <w:vAlign w:val="center"/>
          </w:tcPr>
          <w:p w14:paraId="5AF36745">
            <w:pPr>
              <w:spacing w:line="240" w:lineRule="auto"/>
              <w:rPr>
                <w:sz w:val="28"/>
                <w:szCs w:val="28"/>
              </w:rPr>
            </w:pPr>
            <w:r>
              <w:rPr>
                <w:rFonts w:ascii="方正黑体_GBK" w:hAnsi="方正黑体_GBK" w:eastAsia="方正黑体_GBK" w:cs="宋体"/>
                <w:sz w:val="20"/>
                <w:szCs w:val="24"/>
              </w:rPr>
              <w:t>江苏省盱眙县合欢大道2号</w:t>
            </w:r>
          </w:p>
        </w:tc>
        <w:tc>
          <w:tcPr>
            <w:tcW w:w="1350" w:type="dxa"/>
            <w:tcMar>
              <w:left w:w="120" w:type="dxa"/>
            </w:tcMar>
            <w:vAlign w:val="center"/>
          </w:tcPr>
          <w:p w14:paraId="3419CA68">
            <w:pPr>
              <w:spacing w:line="240" w:lineRule="auto"/>
              <w:rPr>
                <w:sz w:val="28"/>
                <w:szCs w:val="28"/>
              </w:rPr>
            </w:pPr>
            <w:r>
              <w:rPr>
                <w:rFonts w:ascii="方正黑体_GBK" w:hAnsi="方正黑体_GBK" w:eastAsia="方正黑体_GBK" w:cs="宋体"/>
                <w:sz w:val="20"/>
                <w:szCs w:val="24"/>
              </w:rPr>
              <w:t>96008</w:t>
            </w:r>
          </w:p>
        </w:tc>
      </w:tr>
      <w:tr w14:paraId="1D052A2B">
        <w:trPr>
          <w:trHeight w:val="300" w:hRule="atLeast"/>
        </w:trPr>
        <w:tc>
          <w:tcPr>
            <w:tcW w:w="2100" w:type="dxa"/>
            <w:tcMar>
              <w:left w:w="120" w:type="dxa"/>
            </w:tcMar>
            <w:vAlign w:val="center"/>
          </w:tcPr>
          <w:p w14:paraId="00D4FEAA">
            <w:pPr>
              <w:spacing w:line="240" w:lineRule="auto"/>
              <w:rPr>
                <w:sz w:val="28"/>
                <w:szCs w:val="28"/>
              </w:rPr>
            </w:pPr>
            <w:r>
              <w:rPr>
                <w:rFonts w:ascii="方正黑体_GBK" w:hAnsi="方正黑体_GBK" w:eastAsia="方正黑体_GBK" w:cs="宋体"/>
                <w:sz w:val="20"/>
                <w:szCs w:val="24"/>
              </w:rPr>
              <w:t>兰州银行股份有限公司</w:t>
            </w:r>
          </w:p>
        </w:tc>
        <w:tc>
          <w:tcPr>
            <w:tcW w:w="4050" w:type="dxa"/>
            <w:tcMar>
              <w:left w:w="120" w:type="dxa"/>
            </w:tcMar>
            <w:vAlign w:val="center"/>
          </w:tcPr>
          <w:p w14:paraId="5874F70E">
            <w:pPr>
              <w:spacing w:line="240" w:lineRule="auto"/>
              <w:rPr>
                <w:sz w:val="28"/>
                <w:szCs w:val="28"/>
              </w:rPr>
            </w:pPr>
            <w:r>
              <w:rPr>
                <w:rFonts w:ascii="方正黑体_GBK" w:hAnsi="方正黑体_GBK" w:eastAsia="方正黑体_GBK" w:cs="宋体"/>
                <w:sz w:val="20"/>
                <w:szCs w:val="24"/>
              </w:rPr>
              <w:t>甘肃省兰州市城关区酒泉路 211 号</w:t>
            </w:r>
          </w:p>
        </w:tc>
        <w:tc>
          <w:tcPr>
            <w:tcW w:w="1350" w:type="dxa"/>
            <w:tcMar>
              <w:left w:w="120" w:type="dxa"/>
            </w:tcMar>
            <w:vAlign w:val="center"/>
          </w:tcPr>
          <w:p w14:paraId="4BE081E7">
            <w:pPr>
              <w:spacing w:line="240" w:lineRule="auto"/>
              <w:rPr>
                <w:sz w:val="28"/>
                <w:szCs w:val="28"/>
              </w:rPr>
            </w:pPr>
            <w:r>
              <w:rPr>
                <w:rFonts w:ascii="方正黑体_GBK" w:hAnsi="方正黑体_GBK" w:eastAsia="方正黑体_GBK" w:cs="宋体"/>
                <w:sz w:val="20"/>
                <w:szCs w:val="24"/>
              </w:rPr>
              <w:t>96799</w:t>
            </w:r>
          </w:p>
        </w:tc>
      </w:tr>
      <w:tr w14:paraId="7B29A656">
        <w:trPr>
          <w:trHeight w:val="300" w:hRule="atLeast"/>
        </w:trPr>
        <w:tc>
          <w:tcPr>
            <w:tcW w:w="2100" w:type="dxa"/>
            <w:tcMar>
              <w:left w:w="120" w:type="dxa"/>
            </w:tcMar>
            <w:vAlign w:val="center"/>
          </w:tcPr>
          <w:p w14:paraId="1849712E">
            <w:pPr>
              <w:spacing w:line="240" w:lineRule="auto"/>
              <w:rPr>
                <w:sz w:val="28"/>
                <w:szCs w:val="28"/>
              </w:rPr>
            </w:pPr>
            <w:r>
              <w:rPr>
                <w:rFonts w:ascii="方正黑体_GBK" w:hAnsi="方正黑体_GBK" w:eastAsia="方正黑体_GBK" w:cs="宋体"/>
                <w:sz w:val="20"/>
                <w:szCs w:val="24"/>
              </w:rPr>
              <w:t>东营银行股份有限公司</w:t>
            </w:r>
          </w:p>
        </w:tc>
        <w:tc>
          <w:tcPr>
            <w:tcW w:w="4050" w:type="dxa"/>
            <w:tcMar>
              <w:left w:w="120" w:type="dxa"/>
            </w:tcMar>
            <w:vAlign w:val="center"/>
          </w:tcPr>
          <w:p w14:paraId="120DF3EB">
            <w:pPr>
              <w:spacing w:line="240" w:lineRule="auto"/>
              <w:rPr>
                <w:sz w:val="28"/>
                <w:szCs w:val="28"/>
              </w:rPr>
            </w:pPr>
            <w:r>
              <w:rPr>
                <w:rFonts w:ascii="方正黑体_GBK" w:hAnsi="方正黑体_GBK" w:eastAsia="方正黑体_GBK" w:cs="宋体"/>
                <w:sz w:val="20"/>
                <w:szCs w:val="24"/>
              </w:rPr>
              <w:t>山东省东营市东营区府前大街87-1号</w:t>
            </w:r>
          </w:p>
        </w:tc>
        <w:tc>
          <w:tcPr>
            <w:tcW w:w="1350" w:type="dxa"/>
            <w:tcMar>
              <w:left w:w="120" w:type="dxa"/>
            </w:tcMar>
            <w:vAlign w:val="center"/>
          </w:tcPr>
          <w:p w14:paraId="0A9B8FBA">
            <w:pPr>
              <w:spacing w:line="240" w:lineRule="auto"/>
              <w:rPr>
                <w:sz w:val="28"/>
                <w:szCs w:val="28"/>
              </w:rPr>
            </w:pPr>
            <w:r>
              <w:rPr>
                <w:rFonts w:ascii="方正黑体_GBK" w:hAnsi="方正黑体_GBK" w:eastAsia="方正黑体_GBK" w:cs="宋体"/>
                <w:sz w:val="20"/>
                <w:szCs w:val="24"/>
              </w:rPr>
              <w:t>0546-96588/400-6296588</w:t>
            </w:r>
          </w:p>
        </w:tc>
      </w:tr>
      <w:tr w14:paraId="79FE920E">
        <w:trPr>
          <w:trHeight w:val="300" w:hRule="atLeast"/>
        </w:trPr>
        <w:tc>
          <w:tcPr>
            <w:tcW w:w="2100" w:type="dxa"/>
            <w:tcMar>
              <w:left w:w="120" w:type="dxa"/>
            </w:tcMar>
            <w:vAlign w:val="center"/>
          </w:tcPr>
          <w:p w14:paraId="05A1A777">
            <w:pPr>
              <w:spacing w:line="240" w:lineRule="auto"/>
              <w:rPr>
                <w:sz w:val="28"/>
                <w:szCs w:val="28"/>
              </w:rPr>
            </w:pPr>
            <w:r>
              <w:rPr>
                <w:rFonts w:ascii="方正黑体_GBK" w:hAnsi="方正黑体_GBK" w:eastAsia="方正黑体_GBK" w:cs="宋体"/>
                <w:sz w:val="20"/>
                <w:szCs w:val="24"/>
              </w:rPr>
              <w:t>江苏沛县农村商业银行股份有限公司</w:t>
            </w:r>
          </w:p>
        </w:tc>
        <w:tc>
          <w:tcPr>
            <w:tcW w:w="4050" w:type="dxa"/>
            <w:tcMar>
              <w:left w:w="120" w:type="dxa"/>
            </w:tcMar>
            <w:vAlign w:val="center"/>
          </w:tcPr>
          <w:p w14:paraId="22CEB678">
            <w:pPr>
              <w:spacing w:line="240" w:lineRule="auto"/>
              <w:rPr>
                <w:sz w:val="28"/>
                <w:szCs w:val="28"/>
              </w:rPr>
            </w:pPr>
            <w:r>
              <w:rPr>
                <w:rFonts w:ascii="方正黑体_GBK" w:hAnsi="方正黑体_GBK" w:eastAsia="方正黑体_GBK" w:cs="宋体"/>
                <w:sz w:val="20"/>
                <w:szCs w:val="24"/>
              </w:rPr>
              <w:t>江苏省沛县汤沐路中段11号</w:t>
            </w:r>
          </w:p>
        </w:tc>
        <w:tc>
          <w:tcPr>
            <w:tcW w:w="1350" w:type="dxa"/>
            <w:tcMar>
              <w:left w:w="120" w:type="dxa"/>
            </w:tcMar>
            <w:vAlign w:val="center"/>
          </w:tcPr>
          <w:p w14:paraId="4A205B53">
            <w:pPr>
              <w:spacing w:line="240" w:lineRule="auto"/>
              <w:rPr>
                <w:sz w:val="28"/>
                <w:szCs w:val="28"/>
              </w:rPr>
            </w:pPr>
            <w:r>
              <w:rPr>
                <w:rFonts w:ascii="方正黑体_GBK" w:hAnsi="方正黑体_GBK" w:eastAsia="方正黑体_GBK" w:cs="宋体"/>
                <w:sz w:val="20"/>
                <w:szCs w:val="24"/>
              </w:rPr>
              <w:t>96008</w:t>
            </w:r>
          </w:p>
        </w:tc>
      </w:tr>
      <w:tr w14:paraId="526C9AFC">
        <w:trPr>
          <w:trHeight w:val="300" w:hRule="atLeast"/>
        </w:trPr>
        <w:tc>
          <w:tcPr>
            <w:tcW w:w="2100" w:type="dxa"/>
            <w:tcMar>
              <w:left w:w="120" w:type="dxa"/>
            </w:tcMar>
            <w:vAlign w:val="center"/>
          </w:tcPr>
          <w:p w14:paraId="398664F8">
            <w:pPr>
              <w:spacing w:line="240" w:lineRule="auto"/>
              <w:rPr>
                <w:sz w:val="28"/>
                <w:szCs w:val="28"/>
              </w:rPr>
            </w:pPr>
            <w:r>
              <w:rPr>
                <w:rFonts w:ascii="方正黑体_GBK" w:hAnsi="方正黑体_GBK" w:eastAsia="方正黑体_GBK" w:cs="宋体"/>
                <w:sz w:val="20"/>
                <w:szCs w:val="24"/>
              </w:rPr>
              <w:t>甘肃银行股份有限公司</w:t>
            </w:r>
          </w:p>
        </w:tc>
        <w:tc>
          <w:tcPr>
            <w:tcW w:w="4050" w:type="dxa"/>
            <w:tcMar>
              <w:left w:w="120" w:type="dxa"/>
            </w:tcMar>
            <w:vAlign w:val="center"/>
          </w:tcPr>
          <w:p w14:paraId="685B30D5">
            <w:pPr>
              <w:spacing w:line="240" w:lineRule="auto"/>
              <w:rPr>
                <w:sz w:val="28"/>
                <w:szCs w:val="28"/>
              </w:rPr>
            </w:pPr>
            <w:r>
              <w:rPr>
                <w:rFonts w:ascii="方正黑体_GBK" w:hAnsi="方正黑体_GBK" w:eastAsia="方正黑体_GBK" w:cs="宋体"/>
                <w:sz w:val="20"/>
                <w:szCs w:val="24"/>
              </w:rPr>
              <w:t>甘肃省兰州市城关区东岗西路 525-1 号甘肃银行大厦</w:t>
            </w:r>
          </w:p>
        </w:tc>
        <w:tc>
          <w:tcPr>
            <w:tcW w:w="1350" w:type="dxa"/>
            <w:tcMar>
              <w:left w:w="120" w:type="dxa"/>
            </w:tcMar>
            <w:vAlign w:val="center"/>
          </w:tcPr>
          <w:p w14:paraId="12E4F86D">
            <w:pPr>
              <w:spacing w:line="240" w:lineRule="auto"/>
              <w:rPr>
                <w:sz w:val="28"/>
                <w:szCs w:val="28"/>
              </w:rPr>
            </w:pPr>
            <w:r>
              <w:rPr>
                <w:rFonts w:ascii="方正黑体_GBK" w:hAnsi="方正黑体_GBK" w:eastAsia="方正黑体_GBK" w:cs="宋体"/>
                <w:sz w:val="20"/>
                <w:szCs w:val="24"/>
              </w:rPr>
              <w:t>96666</w:t>
            </w:r>
          </w:p>
        </w:tc>
      </w:tr>
      <w:tr w14:paraId="5D083FB9">
        <w:trPr>
          <w:trHeight w:val="300" w:hRule="atLeast"/>
        </w:trPr>
        <w:tc>
          <w:tcPr>
            <w:tcW w:w="2100" w:type="dxa"/>
            <w:tcMar>
              <w:left w:w="120" w:type="dxa"/>
            </w:tcMar>
            <w:vAlign w:val="center"/>
          </w:tcPr>
          <w:p w14:paraId="59CCE484">
            <w:pPr>
              <w:spacing w:line="240" w:lineRule="auto"/>
              <w:rPr>
                <w:sz w:val="28"/>
                <w:szCs w:val="28"/>
              </w:rPr>
            </w:pPr>
            <w:r>
              <w:rPr>
                <w:rFonts w:ascii="方正黑体_GBK" w:hAnsi="方正黑体_GBK" w:eastAsia="方正黑体_GBK" w:cs="宋体"/>
                <w:sz w:val="20"/>
                <w:szCs w:val="24"/>
              </w:rPr>
              <w:t>江苏仪征农村商业银行股份有限公司</w:t>
            </w:r>
          </w:p>
        </w:tc>
        <w:tc>
          <w:tcPr>
            <w:tcW w:w="4050" w:type="dxa"/>
            <w:tcMar>
              <w:left w:w="120" w:type="dxa"/>
            </w:tcMar>
            <w:vAlign w:val="center"/>
          </w:tcPr>
          <w:p w14:paraId="26EBECD3">
            <w:pPr>
              <w:spacing w:line="240" w:lineRule="auto"/>
              <w:rPr>
                <w:sz w:val="28"/>
                <w:szCs w:val="28"/>
              </w:rPr>
            </w:pPr>
            <w:r>
              <w:rPr>
                <w:rFonts w:ascii="方正黑体_GBK" w:hAnsi="方正黑体_GBK" w:eastAsia="方正黑体_GBK" w:cs="宋体"/>
                <w:sz w:val="20"/>
                <w:szCs w:val="24"/>
              </w:rPr>
              <w:t>江苏省仪征市真州镇解放东路818号金融集聚区1座801-811，901-911，1001-1011，2座101</w:t>
            </w:r>
          </w:p>
        </w:tc>
        <w:tc>
          <w:tcPr>
            <w:tcW w:w="1350" w:type="dxa"/>
            <w:tcMar>
              <w:left w:w="120" w:type="dxa"/>
            </w:tcMar>
            <w:vAlign w:val="center"/>
          </w:tcPr>
          <w:p w14:paraId="7A1D6900">
            <w:pPr>
              <w:spacing w:line="240" w:lineRule="auto"/>
              <w:rPr>
                <w:sz w:val="28"/>
                <w:szCs w:val="28"/>
              </w:rPr>
            </w:pPr>
            <w:r>
              <w:rPr>
                <w:rFonts w:ascii="方正黑体_GBK" w:hAnsi="方正黑体_GBK" w:eastAsia="方正黑体_GBK" w:cs="宋体"/>
                <w:sz w:val="20"/>
                <w:szCs w:val="24"/>
              </w:rPr>
              <w:t>96008</w:t>
            </w:r>
          </w:p>
        </w:tc>
      </w:tr>
      <w:tr w14:paraId="23294A33">
        <w:trPr>
          <w:trHeight w:val="300" w:hRule="atLeast"/>
        </w:trPr>
        <w:tc>
          <w:tcPr>
            <w:tcW w:w="2100" w:type="dxa"/>
            <w:tcMar>
              <w:left w:w="120" w:type="dxa"/>
            </w:tcMar>
            <w:vAlign w:val="center"/>
          </w:tcPr>
          <w:p w14:paraId="0C995376">
            <w:pPr>
              <w:spacing w:line="240" w:lineRule="auto"/>
              <w:rPr>
                <w:sz w:val="28"/>
                <w:szCs w:val="28"/>
              </w:rPr>
            </w:pPr>
            <w:r>
              <w:rPr>
                <w:rFonts w:ascii="方正黑体_GBK" w:hAnsi="方正黑体_GBK" w:eastAsia="方正黑体_GBK" w:cs="宋体"/>
                <w:sz w:val="20"/>
                <w:szCs w:val="24"/>
              </w:rPr>
              <w:t>金华银行股份有限公司</w:t>
            </w:r>
          </w:p>
        </w:tc>
        <w:tc>
          <w:tcPr>
            <w:tcW w:w="4050" w:type="dxa"/>
            <w:tcMar>
              <w:left w:w="120" w:type="dxa"/>
            </w:tcMar>
            <w:vAlign w:val="center"/>
          </w:tcPr>
          <w:p w14:paraId="33FCFF13">
            <w:pPr>
              <w:spacing w:line="240" w:lineRule="auto"/>
              <w:rPr>
                <w:sz w:val="28"/>
                <w:szCs w:val="28"/>
              </w:rPr>
            </w:pPr>
            <w:r>
              <w:rPr>
                <w:rFonts w:ascii="方正黑体_GBK" w:hAnsi="方正黑体_GBK" w:eastAsia="方正黑体_GBK" w:cs="宋体"/>
                <w:sz w:val="20"/>
                <w:szCs w:val="24"/>
              </w:rPr>
              <w:t>浙江省金华市丹溪路1388号</w:t>
            </w:r>
          </w:p>
        </w:tc>
        <w:tc>
          <w:tcPr>
            <w:tcW w:w="1350" w:type="dxa"/>
            <w:tcMar>
              <w:left w:w="120" w:type="dxa"/>
            </w:tcMar>
            <w:vAlign w:val="center"/>
          </w:tcPr>
          <w:p w14:paraId="10308471">
            <w:pPr>
              <w:spacing w:line="240" w:lineRule="auto"/>
              <w:rPr>
                <w:sz w:val="28"/>
                <w:szCs w:val="28"/>
              </w:rPr>
            </w:pPr>
            <w:r>
              <w:rPr>
                <w:rFonts w:ascii="方正黑体_GBK" w:hAnsi="方正黑体_GBK" w:eastAsia="方正黑体_GBK" w:cs="宋体"/>
                <w:sz w:val="20"/>
                <w:szCs w:val="24"/>
              </w:rPr>
              <w:t>0579-96528</w:t>
            </w:r>
          </w:p>
        </w:tc>
      </w:tr>
      <w:tr w14:paraId="6E8CC74A">
        <w:trPr>
          <w:trHeight w:val="300" w:hRule="atLeast"/>
        </w:trPr>
        <w:tc>
          <w:tcPr>
            <w:tcW w:w="2100" w:type="dxa"/>
            <w:tcMar>
              <w:left w:w="120" w:type="dxa"/>
            </w:tcMar>
            <w:vAlign w:val="center"/>
          </w:tcPr>
          <w:p w14:paraId="4DD4058C">
            <w:pPr>
              <w:spacing w:line="240" w:lineRule="auto"/>
              <w:rPr>
                <w:sz w:val="28"/>
                <w:szCs w:val="28"/>
              </w:rPr>
            </w:pPr>
            <w:r>
              <w:rPr>
                <w:rFonts w:ascii="方正黑体_GBK" w:hAnsi="方正黑体_GBK" w:eastAsia="方正黑体_GBK" w:cs="宋体"/>
                <w:sz w:val="20"/>
                <w:szCs w:val="24"/>
              </w:rPr>
              <w:t>昆山鹿城村镇银行股份有限公司</w:t>
            </w:r>
          </w:p>
        </w:tc>
        <w:tc>
          <w:tcPr>
            <w:tcW w:w="4050" w:type="dxa"/>
            <w:tcMar>
              <w:left w:w="120" w:type="dxa"/>
            </w:tcMar>
            <w:vAlign w:val="center"/>
          </w:tcPr>
          <w:p w14:paraId="0C8A1D55">
            <w:pPr>
              <w:spacing w:line="240" w:lineRule="auto"/>
              <w:rPr>
                <w:sz w:val="28"/>
                <w:szCs w:val="28"/>
              </w:rPr>
            </w:pPr>
            <w:r>
              <w:rPr>
                <w:rFonts w:ascii="方正黑体_GBK" w:hAnsi="方正黑体_GBK" w:eastAsia="方正黑体_GBK" w:cs="宋体"/>
                <w:sz w:val="20"/>
                <w:szCs w:val="24"/>
              </w:rPr>
              <w:t>昆山市玉山镇前进西路1899号1号房</w:t>
            </w:r>
          </w:p>
        </w:tc>
        <w:tc>
          <w:tcPr>
            <w:tcW w:w="1350" w:type="dxa"/>
            <w:tcMar>
              <w:left w:w="120" w:type="dxa"/>
            </w:tcMar>
            <w:vAlign w:val="center"/>
          </w:tcPr>
          <w:p w14:paraId="575FB355">
            <w:pPr>
              <w:spacing w:line="240" w:lineRule="auto"/>
              <w:rPr>
                <w:sz w:val="28"/>
                <w:szCs w:val="28"/>
              </w:rPr>
            </w:pPr>
            <w:r>
              <w:rPr>
                <w:rFonts w:ascii="方正黑体_GBK" w:hAnsi="方正黑体_GBK" w:eastAsia="方正黑体_GBK" w:cs="宋体"/>
                <w:sz w:val="20"/>
                <w:szCs w:val="24"/>
              </w:rPr>
              <w:t>0512-962077</w:t>
            </w:r>
          </w:p>
        </w:tc>
      </w:tr>
      <w:tr w14:paraId="456F41E8">
        <w:trPr>
          <w:trHeight w:val="300" w:hRule="atLeast"/>
        </w:trPr>
        <w:tc>
          <w:tcPr>
            <w:tcW w:w="2100" w:type="dxa"/>
            <w:tcMar>
              <w:left w:w="120" w:type="dxa"/>
            </w:tcMar>
            <w:vAlign w:val="center"/>
          </w:tcPr>
          <w:p w14:paraId="0E9DC405">
            <w:pPr>
              <w:spacing w:line="240" w:lineRule="auto"/>
              <w:rPr>
                <w:sz w:val="28"/>
                <w:szCs w:val="28"/>
              </w:rPr>
            </w:pPr>
            <w:r>
              <w:rPr>
                <w:rFonts w:ascii="方正黑体_GBK" w:hAnsi="方正黑体_GBK" w:eastAsia="方正黑体_GBK" w:cs="宋体"/>
                <w:sz w:val="20"/>
                <w:szCs w:val="24"/>
              </w:rPr>
              <w:t>吉林银行股份有限公司</w:t>
            </w:r>
          </w:p>
        </w:tc>
        <w:tc>
          <w:tcPr>
            <w:tcW w:w="4050" w:type="dxa"/>
            <w:tcMar>
              <w:left w:w="120" w:type="dxa"/>
            </w:tcMar>
            <w:vAlign w:val="center"/>
          </w:tcPr>
          <w:p w14:paraId="15EC2A13">
            <w:pPr>
              <w:spacing w:line="240" w:lineRule="auto"/>
              <w:rPr>
                <w:sz w:val="28"/>
                <w:szCs w:val="28"/>
              </w:rPr>
            </w:pPr>
            <w:r>
              <w:rPr>
                <w:rFonts w:ascii="方正黑体_GBK" w:hAnsi="方正黑体_GBK" w:eastAsia="方正黑体_GBK" w:cs="宋体"/>
                <w:sz w:val="20"/>
                <w:szCs w:val="24"/>
              </w:rPr>
              <w:t>吉林省长春市南关区人民大街10666号</w:t>
            </w:r>
          </w:p>
        </w:tc>
        <w:tc>
          <w:tcPr>
            <w:tcW w:w="1350" w:type="dxa"/>
            <w:tcMar>
              <w:left w:w="120" w:type="dxa"/>
            </w:tcMar>
            <w:vAlign w:val="center"/>
          </w:tcPr>
          <w:p w14:paraId="2E110345">
            <w:pPr>
              <w:spacing w:line="240" w:lineRule="auto"/>
              <w:rPr>
                <w:sz w:val="28"/>
                <w:szCs w:val="28"/>
              </w:rPr>
            </w:pPr>
            <w:r>
              <w:rPr>
                <w:rFonts w:ascii="方正黑体_GBK" w:hAnsi="方正黑体_GBK" w:eastAsia="方正黑体_GBK" w:cs="宋体"/>
                <w:sz w:val="20"/>
                <w:szCs w:val="24"/>
              </w:rPr>
              <w:t>0431-84999543</w:t>
            </w:r>
          </w:p>
        </w:tc>
      </w:tr>
      <w:tr w14:paraId="2B84A395">
        <w:trPr>
          <w:trHeight w:val="300" w:hRule="atLeast"/>
        </w:trPr>
        <w:tc>
          <w:tcPr>
            <w:tcW w:w="2100" w:type="dxa"/>
            <w:tcMar>
              <w:left w:w="120" w:type="dxa"/>
            </w:tcMar>
            <w:vAlign w:val="center"/>
          </w:tcPr>
          <w:p w14:paraId="4C23938A">
            <w:pPr>
              <w:spacing w:line="240" w:lineRule="auto"/>
              <w:rPr>
                <w:sz w:val="28"/>
                <w:szCs w:val="28"/>
              </w:rPr>
            </w:pPr>
            <w:r>
              <w:rPr>
                <w:rFonts w:ascii="方正黑体_GBK" w:hAnsi="方正黑体_GBK" w:eastAsia="方正黑体_GBK" w:cs="宋体"/>
                <w:sz w:val="20"/>
                <w:szCs w:val="24"/>
              </w:rPr>
              <w:t>连云港东方农村商业银行股份有限公司</w:t>
            </w:r>
          </w:p>
        </w:tc>
        <w:tc>
          <w:tcPr>
            <w:tcW w:w="4050" w:type="dxa"/>
            <w:tcMar>
              <w:left w:w="120" w:type="dxa"/>
            </w:tcMar>
            <w:vAlign w:val="center"/>
          </w:tcPr>
          <w:p w14:paraId="25624B2A">
            <w:pPr>
              <w:spacing w:line="240" w:lineRule="auto"/>
              <w:rPr>
                <w:sz w:val="28"/>
                <w:szCs w:val="28"/>
              </w:rPr>
            </w:pPr>
            <w:r>
              <w:rPr>
                <w:rFonts w:ascii="方正黑体_GBK" w:hAnsi="方正黑体_GBK" w:eastAsia="方正黑体_GBK" w:cs="宋体"/>
                <w:sz w:val="20"/>
                <w:szCs w:val="24"/>
              </w:rPr>
              <w:t>江苏省连云港市海州区郁洲南路10号</w:t>
            </w:r>
          </w:p>
        </w:tc>
        <w:tc>
          <w:tcPr>
            <w:tcW w:w="1350" w:type="dxa"/>
            <w:tcMar>
              <w:left w:w="120" w:type="dxa"/>
            </w:tcMar>
            <w:vAlign w:val="center"/>
          </w:tcPr>
          <w:p w14:paraId="71960F32">
            <w:pPr>
              <w:spacing w:line="240" w:lineRule="auto"/>
              <w:rPr>
                <w:sz w:val="28"/>
                <w:szCs w:val="28"/>
              </w:rPr>
            </w:pPr>
            <w:r>
              <w:rPr>
                <w:rFonts w:ascii="方正黑体_GBK" w:hAnsi="方正黑体_GBK" w:eastAsia="方正黑体_GBK" w:cs="宋体"/>
                <w:sz w:val="20"/>
                <w:szCs w:val="24"/>
              </w:rPr>
              <w:t>96008</w:t>
            </w:r>
          </w:p>
        </w:tc>
      </w:tr>
      <w:tr w14:paraId="56371108">
        <w:trPr>
          <w:trHeight w:val="300" w:hRule="atLeast"/>
        </w:trPr>
        <w:tc>
          <w:tcPr>
            <w:tcW w:w="2100" w:type="dxa"/>
            <w:tcMar>
              <w:left w:w="120" w:type="dxa"/>
            </w:tcMar>
            <w:vAlign w:val="center"/>
          </w:tcPr>
          <w:p w14:paraId="19869EA5">
            <w:pPr>
              <w:spacing w:line="240" w:lineRule="auto"/>
              <w:rPr>
                <w:sz w:val="28"/>
                <w:szCs w:val="28"/>
              </w:rPr>
            </w:pPr>
            <w:r>
              <w:rPr>
                <w:rFonts w:ascii="方正黑体_GBK" w:hAnsi="方正黑体_GBK" w:eastAsia="方正黑体_GBK" w:cs="宋体"/>
                <w:sz w:val="20"/>
                <w:szCs w:val="24"/>
              </w:rPr>
              <w:t>德州银行股份有限公司</w:t>
            </w:r>
          </w:p>
        </w:tc>
        <w:tc>
          <w:tcPr>
            <w:tcW w:w="4050" w:type="dxa"/>
            <w:tcMar>
              <w:left w:w="120" w:type="dxa"/>
            </w:tcMar>
            <w:vAlign w:val="center"/>
          </w:tcPr>
          <w:p w14:paraId="0A6CF68D">
            <w:pPr>
              <w:spacing w:line="240" w:lineRule="auto"/>
              <w:rPr>
                <w:sz w:val="28"/>
                <w:szCs w:val="28"/>
              </w:rPr>
            </w:pPr>
            <w:r>
              <w:rPr>
                <w:rFonts w:ascii="方正黑体_GBK" w:hAnsi="方正黑体_GBK" w:eastAsia="方正黑体_GBK" w:cs="宋体"/>
                <w:sz w:val="20"/>
                <w:szCs w:val="24"/>
              </w:rPr>
              <w:t>山东省德州市三八东路1266号</w:t>
            </w:r>
          </w:p>
        </w:tc>
        <w:tc>
          <w:tcPr>
            <w:tcW w:w="1350" w:type="dxa"/>
            <w:tcMar>
              <w:left w:w="120" w:type="dxa"/>
            </w:tcMar>
            <w:vAlign w:val="center"/>
          </w:tcPr>
          <w:p w14:paraId="4FFEA65D">
            <w:pPr>
              <w:spacing w:line="240" w:lineRule="auto"/>
              <w:rPr>
                <w:sz w:val="28"/>
                <w:szCs w:val="28"/>
              </w:rPr>
            </w:pPr>
            <w:r>
              <w:rPr>
                <w:rFonts w:ascii="方正黑体_GBK" w:hAnsi="方正黑体_GBK" w:eastAsia="方正黑体_GBK" w:cs="宋体"/>
                <w:sz w:val="20"/>
                <w:szCs w:val="24"/>
              </w:rPr>
              <w:t>0534-2291695</w:t>
            </w:r>
          </w:p>
        </w:tc>
      </w:tr>
      <w:tr w14:paraId="187D19DC">
        <w:trPr>
          <w:trHeight w:val="300" w:hRule="atLeast"/>
        </w:trPr>
        <w:tc>
          <w:tcPr>
            <w:tcW w:w="2100" w:type="dxa"/>
            <w:tcMar>
              <w:left w:w="120" w:type="dxa"/>
            </w:tcMar>
            <w:vAlign w:val="center"/>
          </w:tcPr>
          <w:p w14:paraId="2C5832D3">
            <w:pPr>
              <w:spacing w:line="240" w:lineRule="auto"/>
              <w:rPr>
                <w:sz w:val="28"/>
                <w:szCs w:val="28"/>
              </w:rPr>
            </w:pPr>
            <w:r>
              <w:rPr>
                <w:rFonts w:ascii="方正黑体_GBK" w:hAnsi="方正黑体_GBK" w:eastAsia="方正黑体_GBK" w:cs="宋体"/>
                <w:sz w:val="20"/>
                <w:szCs w:val="24"/>
              </w:rPr>
              <w:t>北京农村商业银行股份有限公司</w:t>
            </w:r>
          </w:p>
        </w:tc>
        <w:tc>
          <w:tcPr>
            <w:tcW w:w="4050" w:type="dxa"/>
            <w:tcMar>
              <w:left w:w="120" w:type="dxa"/>
            </w:tcMar>
            <w:vAlign w:val="center"/>
          </w:tcPr>
          <w:p w14:paraId="2D150EFA">
            <w:pPr>
              <w:spacing w:line="240" w:lineRule="auto"/>
              <w:rPr>
                <w:sz w:val="28"/>
                <w:szCs w:val="28"/>
              </w:rPr>
            </w:pPr>
            <w:r>
              <w:rPr>
                <w:rFonts w:ascii="方正黑体_GBK" w:hAnsi="方正黑体_GBK" w:eastAsia="方正黑体_GBK" w:cs="宋体"/>
                <w:sz w:val="20"/>
                <w:szCs w:val="24"/>
              </w:rPr>
              <w:t>北京市西城区月坛南街1号院2号楼</w:t>
            </w:r>
          </w:p>
        </w:tc>
        <w:tc>
          <w:tcPr>
            <w:tcW w:w="1350" w:type="dxa"/>
            <w:tcMar>
              <w:left w:w="120" w:type="dxa"/>
            </w:tcMar>
            <w:vAlign w:val="center"/>
          </w:tcPr>
          <w:p w14:paraId="3361D186">
            <w:pPr>
              <w:spacing w:line="240" w:lineRule="auto"/>
              <w:rPr>
                <w:sz w:val="28"/>
                <w:szCs w:val="28"/>
              </w:rPr>
            </w:pPr>
            <w:r>
              <w:rPr>
                <w:rFonts w:ascii="方正黑体_GBK" w:hAnsi="方正黑体_GBK" w:eastAsia="方正黑体_GBK" w:cs="宋体"/>
                <w:sz w:val="20"/>
                <w:szCs w:val="24"/>
              </w:rPr>
              <w:t>010-96198、4008896198</w:t>
            </w:r>
          </w:p>
        </w:tc>
      </w:tr>
      <w:tr w14:paraId="79143CA5">
        <w:trPr>
          <w:trHeight w:val="300" w:hRule="atLeast"/>
        </w:trPr>
        <w:tc>
          <w:tcPr>
            <w:tcW w:w="2100" w:type="dxa"/>
            <w:tcMar>
              <w:left w:w="120" w:type="dxa"/>
            </w:tcMar>
            <w:vAlign w:val="center"/>
          </w:tcPr>
          <w:p w14:paraId="24393F14">
            <w:pPr>
              <w:spacing w:line="240" w:lineRule="auto"/>
              <w:rPr>
                <w:sz w:val="28"/>
                <w:szCs w:val="28"/>
              </w:rPr>
            </w:pPr>
            <w:r>
              <w:rPr>
                <w:rFonts w:ascii="方正黑体_GBK" w:hAnsi="方正黑体_GBK" w:eastAsia="方正黑体_GBK" w:cs="宋体"/>
                <w:sz w:val="20"/>
                <w:szCs w:val="24"/>
              </w:rPr>
              <w:t>上海农村商业银行股份有限公司</w:t>
            </w:r>
          </w:p>
        </w:tc>
        <w:tc>
          <w:tcPr>
            <w:tcW w:w="4050" w:type="dxa"/>
            <w:tcMar>
              <w:left w:w="120" w:type="dxa"/>
            </w:tcMar>
            <w:vAlign w:val="center"/>
          </w:tcPr>
          <w:p w14:paraId="3F785BF1">
            <w:pPr>
              <w:spacing w:line="240" w:lineRule="auto"/>
              <w:rPr>
                <w:sz w:val="28"/>
                <w:szCs w:val="28"/>
              </w:rPr>
            </w:pPr>
            <w:r>
              <w:rPr>
                <w:rFonts w:ascii="方正黑体_GBK" w:hAnsi="方正黑体_GBK" w:eastAsia="方正黑体_GBK" w:cs="宋体"/>
                <w:sz w:val="20"/>
                <w:szCs w:val="24"/>
              </w:rPr>
              <w:t>上海市黄浦区中山东二路70号</w:t>
            </w:r>
          </w:p>
        </w:tc>
        <w:tc>
          <w:tcPr>
            <w:tcW w:w="1350" w:type="dxa"/>
            <w:tcMar>
              <w:left w:w="120" w:type="dxa"/>
            </w:tcMar>
            <w:vAlign w:val="center"/>
          </w:tcPr>
          <w:p w14:paraId="34053628">
            <w:pPr>
              <w:spacing w:line="240" w:lineRule="auto"/>
              <w:rPr>
                <w:sz w:val="28"/>
                <w:szCs w:val="28"/>
              </w:rPr>
            </w:pPr>
            <w:r>
              <w:rPr>
                <w:rFonts w:ascii="方正黑体_GBK" w:hAnsi="方正黑体_GBK" w:eastAsia="方正黑体_GBK" w:cs="宋体"/>
                <w:sz w:val="20"/>
                <w:szCs w:val="24"/>
              </w:rPr>
              <w:t>021-962999</w:t>
            </w:r>
          </w:p>
        </w:tc>
      </w:tr>
      <w:tr w14:paraId="598AC9F4">
        <w:trPr>
          <w:trHeight w:val="300" w:hRule="atLeast"/>
        </w:trPr>
        <w:tc>
          <w:tcPr>
            <w:tcW w:w="2100" w:type="dxa"/>
            <w:tcMar>
              <w:left w:w="120" w:type="dxa"/>
            </w:tcMar>
            <w:vAlign w:val="center"/>
          </w:tcPr>
          <w:p w14:paraId="5ACD1B84">
            <w:pPr>
              <w:spacing w:line="240" w:lineRule="auto"/>
              <w:rPr>
                <w:sz w:val="28"/>
                <w:szCs w:val="28"/>
              </w:rPr>
            </w:pPr>
            <w:r>
              <w:rPr>
                <w:rFonts w:ascii="方正黑体_GBK" w:hAnsi="方正黑体_GBK" w:eastAsia="方正黑体_GBK" w:cs="宋体"/>
                <w:sz w:val="20"/>
                <w:szCs w:val="24"/>
              </w:rPr>
              <w:t>长安银行股份有限公司</w:t>
            </w:r>
          </w:p>
        </w:tc>
        <w:tc>
          <w:tcPr>
            <w:tcW w:w="4050" w:type="dxa"/>
            <w:tcMar>
              <w:left w:w="120" w:type="dxa"/>
            </w:tcMar>
            <w:vAlign w:val="center"/>
          </w:tcPr>
          <w:p w14:paraId="2DF91D45">
            <w:pPr>
              <w:spacing w:line="240" w:lineRule="auto"/>
              <w:rPr>
                <w:sz w:val="28"/>
                <w:szCs w:val="28"/>
              </w:rPr>
            </w:pPr>
            <w:r>
              <w:rPr>
                <w:rFonts w:ascii="方正黑体_GBK" w:hAnsi="方正黑体_GBK" w:eastAsia="方正黑体_GBK" w:cs="宋体"/>
                <w:sz w:val="20"/>
                <w:szCs w:val="24"/>
              </w:rPr>
              <w:t>西安市高新区高新四路13号1幢1单元10101室</w:t>
            </w:r>
          </w:p>
        </w:tc>
        <w:tc>
          <w:tcPr>
            <w:tcW w:w="1350" w:type="dxa"/>
            <w:tcMar>
              <w:left w:w="120" w:type="dxa"/>
            </w:tcMar>
            <w:vAlign w:val="center"/>
          </w:tcPr>
          <w:p w14:paraId="14DF43DF">
            <w:pPr>
              <w:spacing w:line="240" w:lineRule="auto"/>
              <w:rPr>
                <w:sz w:val="28"/>
                <w:szCs w:val="28"/>
              </w:rPr>
            </w:pPr>
            <w:r>
              <w:rPr>
                <w:rFonts w:ascii="方正黑体_GBK" w:hAnsi="方正黑体_GBK" w:eastAsia="方正黑体_GBK" w:cs="宋体"/>
                <w:sz w:val="20"/>
                <w:szCs w:val="24"/>
              </w:rPr>
              <w:t>029-96669</w:t>
            </w:r>
          </w:p>
        </w:tc>
      </w:tr>
      <w:tr w14:paraId="648F4C2F">
        <w:trPr>
          <w:trHeight w:val="300" w:hRule="atLeast"/>
        </w:trPr>
        <w:tc>
          <w:tcPr>
            <w:tcW w:w="2100" w:type="dxa"/>
            <w:tcMar>
              <w:left w:w="120" w:type="dxa"/>
            </w:tcMar>
            <w:vAlign w:val="center"/>
          </w:tcPr>
          <w:p w14:paraId="3B95E901">
            <w:pPr>
              <w:spacing w:line="240" w:lineRule="auto"/>
              <w:rPr>
                <w:sz w:val="28"/>
                <w:szCs w:val="28"/>
              </w:rPr>
            </w:pPr>
            <w:r>
              <w:rPr>
                <w:rFonts w:ascii="方正黑体_GBK" w:hAnsi="方正黑体_GBK" w:eastAsia="方正黑体_GBK" w:cs="宋体"/>
                <w:sz w:val="20"/>
                <w:szCs w:val="24"/>
              </w:rPr>
              <w:t>江苏沭阳农村商业银行股份有限公司</w:t>
            </w:r>
          </w:p>
        </w:tc>
        <w:tc>
          <w:tcPr>
            <w:tcW w:w="4050" w:type="dxa"/>
            <w:tcMar>
              <w:left w:w="120" w:type="dxa"/>
            </w:tcMar>
            <w:vAlign w:val="center"/>
          </w:tcPr>
          <w:p w14:paraId="6A1131E7">
            <w:pPr>
              <w:spacing w:line="240" w:lineRule="auto"/>
              <w:rPr>
                <w:sz w:val="28"/>
                <w:szCs w:val="28"/>
              </w:rPr>
            </w:pPr>
            <w:r>
              <w:rPr>
                <w:rFonts w:ascii="方正黑体_GBK" w:hAnsi="方正黑体_GBK" w:eastAsia="方正黑体_GBK" w:cs="宋体"/>
                <w:sz w:val="20"/>
                <w:szCs w:val="24"/>
              </w:rPr>
              <w:t>沭阳县沭城镇苏州东路与台州南路交汇处</w:t>
            </w:r>
          </w:p>
        </w:tc>
        <w:tc>
          <w:tcPr>
            <w:tcW w:w="1350" w:type="dxa"/>
            <w:tcMar>
              <w:left w:w="120" w:type="dxa"/>
            </w:tcMar>
            <w:vAlign w:val="center"/>
          </w:tcPr>
          <w:p w14:paraId="39EDC255">
            <w:pPr>
              <w:spacing w:line="240" w:lineRule="auto"/>
              <w:rPr>
                <w:sz w:val="28"/>
                <w:szCs w:val="28"/>
              </w:rPr>
            </w:pPr>
            <w:r>
              <w:rPr>
                <w:rFonts w:ascii="方正黑体_GBK" w:hAnsi="方正黑体_GBK" w:eastAsia="方正黑体_GBK" w:cs="宋体"/>
                <w:sz w:val="20"/>
                <w:szCs w:val="24"/>
              </w:rPr>
              <w:t>96008</w:t>
            </w:r>
          </w:p>
        </w:tc>
      </w:tr>
      <w:tr w14:paraId="03BE62F6">
        <w:trPr>
          <w:trHeight w:val="300" w:hRule="atLeast"/>
        </w:trPr>
        <w:tc>
          <w:tcPr>
            <w:tcW w:w="2100" w:type="dxa"/>
            <w:tcMar>
              <w:left w:w="120" w:type="dxa"/>
            </w:tcMar>
            <w:vAlign w:val="center"/>
          </w:tcPr>
          <w:p w14:paraId="09195D85">
            <w:pPr>
              <w:spacing w:line="240" w:lineRule="auto"/>
              <w:rPr>
                <w:sz w:val="28"/>
                <w:szCs w:val="28"/>
              </w:rPr>
            </w:pPr>
            <w:r>
              <w:rPr>
                <w:rFonts w:ascii="方正黑体_GBK" w:hAnsi="方正黑体_GBK" w:eastAsia="方正黑体_GBK" w:cs="宋体"/>
                <w:sz w:val="20"/>
                <w:szCs w:val="24"/>
              </w:rPr>
              <w:t>湖州银行股份有限公司</w:t>
            </w:r>
          </w:p>
        </w:tc>
        <w:tc>
          <w:tcPr>
            <w:tcW w:w="4050" w:type="dxa"/>
            <w:tcMar>
              <w:left w:w="120" w:type="dxa"/>
            </w:tcMar>
            <w:vAlign w:val="center"/>
          </w:tcPr>
          <w:p w14:paraId="143EB305">
            <w:pPr>
              <w:spacing w:line="240" w:lineRule="auto"/>
              <w:rPr>
                <w:sz w:val="28"/>
                <w:szCs w:val="28"/>
              </w:rPr>
            </w:pPr>
            <w:r>
              <w:rPr>
                <w:rFonts w:ascii="方正黑体_GBK" w:hAnsi="方正黑体_GBK" w:eastAsia="方正黑体_GBK" w:cs="宋体"/>
                <w:sz w:val="20"/>
                <w:szCs w:val="24"/>
              </w:rPr>
              <w:t>浙江省湖州市红旗路268号</w:t>
            </w:r>
          </w:p>
        </w:tc>
        <w:tc>
          <w:tcPr>
            <w:tcW w:w="1350" w:type="dxa"/>
            <w:tcMar>
              <w:left w:w="120" w:type="dxa"/>
            </w:tcMar>
            <w:vAlign w:val="center"/>
          </w:tcPr>
          <w:p w14:paraId="56C21F07">
            <w:pPr>
              <w:spacing w:line="240" w:lineRule="auto"/>
              <w:rPr>
                <w:sz w:val="28"/>
                <w:szCs w:val="28"/>
              </w:rPr>
            </w:pPr>
            <w:r>
              <w:rPr>
                <w:rFonts w:ascii="方正黑体_GBK" w:hAnsi="方正黑体_GBK" w:eastAsia="方正黑体_GBK" w:cs="宋体"/>
                <w:sz w:val="20"/>
                <w:szCs w:val="24"/>
              </w:rPr>
              <w:t>40080-96528</w:t>
            </w:r>
          </w:p>
        </w:tc>
      </w:tr>
      <w:tr w14:paraId="565B8B90">
        <w:trPr>
          <w:trHeight w:val="300" w:hRule="atLeast"/>
        </w:trPr>
        <w:tc>
          <w:tcPr>
            <w:tcW w:w="2100" w:type="dxa"/>
            <w:tcMar>
              <w:left w:w="120" w:type="dxa"/>
            </w:tcMar>
            <w:vAlign w:val="center"/>
          </w:tcPr>
          <w:p w14:paraId="53EF4A69">
            <w:pPr>
              <w:spacing w:line="240" w:lineRule="auto"/>
              <w:rPr>
                <w:sz w:val="28"/>
                <w:szCs w:val="28"/>
              </w:rPr>
            </w:pPr>
            <w:r>
              <w:rPr>
                <w:rFonts w:ascii="方正黑体_GBK" w:hAnsi="方正黑体_GBK" w:eastAsia="方正黑体_GBK" w:cs="宋体"/>
                <w:sz w:val="20"/>
                <w:szCs w:val="24"/>
              </w:rPr>
              <w:t>江苏灌云农村商业银行股份有限公司</w:t>
            </w:r>
          </w:p>
        </w:tc>
        <w:tc>
          <w:tcPr>
            <w:tcW w:w="4050" w:type="dxa"/>
            <w:tcMar>
              <w:left w:w="120" w:type="dxa"/>
            </w:tcMar>
            <w:vAlign w:val="center"/>
          </w:tcPr>
          <w:p w14:paraId="0D87B7BE">
            <w:pPr>
              <w:spacing w:line="240" w:lineRule="auto"/>
              <w:rPr>
                <w:sz w:val="28"/>
                <w:szCs w:val="28"/>
              </w:rPr>
            </w:pPr>
            <w:r>
              <w:rPr>
                <w:rFonts w:ascii="方正黑体_GBK" w:hAnsi="方正黑体_GBK" w:eastAsia="方正黑体_GBK" w:cs="宋体"/>
                <w:sz w:val="20"/>
                <w:szCs w:val="24"/>
              </w:rPr>
              <w:t>江苏省灌云县伊山镇水利路东侧（人民路与水利路交汇处）</w:t>
            </w:r>
          </w:p>
        </w:tc>
        <w:tc>
          <w:tcPr>
            <w:tcW w:w="1350" w:type="dxa"/>
            <w:tcMar>
              <w:left w:w="120" w:type="dxa"/>
            </w:tcMar>
            <w:vAlign w:val="center"/>
          </w:tcPr>
          <w:p w14:paraId="64AB467B">
            <w:pPr>
              <w:spacing w:line="240" w:lineRule="auto"/>
              <w:rPr>
                <w:sz w:val="28"/>
                <w:szCs w:val="28"/>
              </w:rPr>
            </w:pPr>
            <w:r>
              <w:rPr>
                <w:rFonts w:ascii="方正黑体_GBK" w:hAnsi="方正黑体_GBK" w:eastAsia="方正黑体_GBK" w:cs="宋体"/>
                <w:sz w:val="20"/>
                <w:szCs w:val="24"/>
              </w:rPr>
              <w:t>96008</w:t>
            </w:r>
          </w:p>
        </w:tc>
      </w:tr>
      <w:tr w14:paraId="4B9FCFBC">
        <w:trPr>
          <w:trHeight w:val="300" w:hRule="atLeast"/>
        </w:trPr>
        <w:tc>
          <w:tcPr>
            <w:tcW w:w="2100" w:type="dxa"/>
            <w:tcMar>
              <w:left w:w="120" w:type="dxa"/>
            </w:tcMar>
            <w:vAlign w:val="center"/>
          </w:tcPr>
          <w:p w14:paraId="7DE98736">
            <w:pPr>
              <w:spacing w:line="240" w:lineRule="auto"/>
              <w:rPr>
                <w:sz w:val="28"/>
                <w:szCs w:val="28"/>
              </w:rPr>
            </w:pPr>
            <w:r>
              <w:rPr>
                <w:rFonts w:ascii="方正黑体_GBK" w:hAnsi="方正黑体_GBK" w:eastAsia="方正黑体_GBK" w:cs="宋体"/>
                <w:sz w:val="20"/>
                <w:szCs w:val="24"/>
              </w:rPr>
              <w:t>江苏海安农村商业银行股份有限公司</w:t>
            </w:r>
          </w:p>
        </w:tc>
        <w:tc>
          <w:tcPr>
            <w:tcW w:w="4050" w:type="dxa"/>
            <w:tcMar>
              <w:left w:w="120" w:type="dxa"/>
            </w:tcMar>
            <w:vAlign w:val="center"/>
          </w:tcPr>
          <w:p w14:paraId="3073509D">
            <w:pPr>
              <w:spacing w:line="240" w:lineRule="auto"/>
              <w:rPr>
                <w:sz w:val="28"/>
                <w:szCs w:val="28"/>
              </w:rPr>
            </w:pPr>
            <w:r>
              <w:rPr>
                <w:rFonts w:ascii="方正黑体_GBK" w:hAnsi="方正黑体_GBK" w:eastAsia="方正黑体_GBK" w:cs="宋体"/>
                <w:sz w:val="20"/>
                <w:szCs w:val="24"/>
              </w:rPr>
              <w:t>江苏省海安市长江中路88号(东楼 )</w:t>
            </w:r>
          </w:p>
        </w:tc>
        <w:tc>
          <w:tcPr>
            <w:tcW w:w="1350" w:type="dxa"/>
            <w:tcMar>
              <w:left w:w="120" w:type="dxa"/>
            </w:tcMar>
            <w:vAlign w:val="center"/>
          </w:tcPr>
          <w:p w14:paraId="11EC151F">
            <w:pPr>
              <w:spacing w:line="240" w:lineRule="auto"/>
              <w:rPr>
                <w:sz w:val="28"/>
                <w:szCs w:val="28"/>
              </w:rPr>
            </w:pPr>
            <w:r>
              <w:rPr>
                <w:rFonts w:ascii="方正黑体_GBK" w:hAnsi="方正黑体_GBK" w:eastAsia="方正黑体_GBK" w:cs="宋体"/>
                <w:sz w:val="20"/>
                <w:szCs w:val="24"/>
              </w:rPr>
              <w:t>96008</w:t>
            </w:r>
          </w:p>
        </w:tc>
      </w:tr>
      <w:tr w14:paraId="26FE54DA">
        <w:trPr>
          <w:trHeight w:val="300" w:hRule="atLeast"/>
        </w:trPr>
        <w:tc>
          <w:tcPr>
            <w:tcW w:w="2100" w:type="dxa"/>
            <w:tcMar>
              <w:left w:w="120" w:type="dxa"/>
            </w:tcMar>
            <w:vAlign w:val="center"/>
          </w:tcPr>
          <w:p w14:paraId="5C7E0659">
            <w:pPr>
              <w:spacing w:line="240" w:lineRule="auto"/>
              <w:rPr>
                <w:sz w:val="28"/>
                <w:szCs w:val="28"/>
              </w:rPr>
            </w:pPr>
            <w:r>
              <w:rPr>
                <w:rFonts w:ascii="方正黑体_GBK" w:hAnsi="方正黑体_GBK" w:eastAsia="方正黑体_GBK" w:cs="宋体"/>
                <w:sz w:val="20"/>
                <w:szCs w:val="24"/>
              </w:rPr>
              <w:t>江苏昆山农村商业银行股份有限公司</w:t>
            </w:r>
          </w:p>
        </w:tc>
        <w:tc>
          <w:tcPr>
            <w:tcW w:w="4050" w:type="dxa"/>
            <w:tcMar>
              <w:left w:w="120" w:type="dxa"/>
            </w:tcMar>
            <w:vAlign w:val="center"/>
          </w:tcPr>
          <w:p w14:paraId="4CC952E7">
            <w:pPr>
              <w:spacing w:line="240" w:lineRule="auto"/>
              <w:rPr>
                <w:sz w:val="28"/>
                <w:szCs w:val="28"/>
              </w:rPr>
            </w:pPr>
            <w:r>
              <w:rPr>
                <w:rFonts w:ascii="方正黑体_GBK" w:hAnsi="方正黑体_GBK" w:eastAsia="方正黑体_GBK" w:cs="宋体"/>
                <w:sz w:val="20"/>
                <w:szCs w:val="24"/>
              </w:rPr>
              <w:t>江苏省昆山市前进东路828号</w:t>
            </w:r>
          </w:p>
        </w:tc>
        <w:tc>
          <w:tcPr>
            <w:tcW w:w="1350" w:type="dxa"/>
            <w:tcMar>
              <w:left w:w="120" w:type="dxa"/>
            </w:tcMar>
            <w:vAlign w:val="center"/>
          </w:tcPr>
          <w:p w14:paraId="0F9399AE">
            <w:pPr>
              <w:spacing w:line="240" w:lineRule="auto"/>
              <w:rPr>
                <w:sz w:val="28"/>
                <w:szCs w:val="28"/>
              </w:rPr>
            </w:pPr>
            <w:r>
              <w:rPr>
                <w:rFonts w:ascii="方正黑体_GBK" w:hAnsi="方正黑体_GBK" w:eastAsia="方正黑体_GBK" w:cs="宋体"/>
                <w:sz w:val="20"/>
                <w:szCs w:val="24"/>
              </w:rPr>
              <w:t>0512-96079</w:t>
            </w:r>
          </w:p>
        </w:tc>
      </w:tr>
      <w:tr w14:paraId="20F966A5">
        <w:trPr>
          <w:trHeight w:val="300" w:hRule="atLeast"/>
        </w:trPr>
        <w:tc>
          <w:tcPr>
            <w:tcW w:w="2100" w:type="dxa"/>
            <w:tcMar>
              <w:left w:w="120" w:type="dxa"/>
            </w:tcMar>
            <w:vAlign w:val="center"/>
          </w:tcPr>
          <w:p w14:paraId="6592A4F8">
            <w:pPr>
              <w:spacing w:line="240" w:lineRule="auto"/>
              <w:rPr>
                <w:sz w:val="28"/>
                <w:szCs w:val="28"/>
              </w:rPr>
            </w:pPr>
            <w:r>
              <w:rPr>
                <w:rFonts w:ascii="方正黑体_GBK" w:hAnsi="方正黑体_GBK" w:eastAsia="方正黑体_GBK" w:cs="宋体"/>
                <w:sz w:val="20"/>
                <w:szCs w:val="24"/>
              </w:rPr>
              <w:t>广州农村商业银行股份有限公司</w:t>
            </w:r>
          </w:p>
        </w:tc>
        <w:tc>
          <w:tcPr>
            <w:tcW w:w="4050" w:type="dxa"/>
            <w:tcMar>
              <w:left w:w="120" w:type="dxa"/>
            </w:tcMar>
            <w:vAlign w:val="center"/>
          </w:tcPr>
          <w:p w14:paraId="37C83FC1">
            <w:pPr>
              <w:spacing w:line="240" w:lineRule="auto"/>
              <w:rPr>
                <w:sz w:val="28"/>
                <w:szCs w:val="28"/>
              </w:rPr>
            </w:pPr>
            <w:r>
              <w:rPr>
                <w:rFonts w:ascii="方正黑体_GBK" w:hAnsi="方正黑体_GBK" w:eastAsia="方正黑体_GBK" w:cs="宋体"/>
                <w:sz w:val="20"/>
                <w:szCs w:val="24"/>
              </w:rPr>
              <w:t>广州市黄埔区映日路9号</w:t>
            </w:r>
          </w:p>
        </w:tc>
        <w:tc>
          <w:tcPr>
            <w:tcW w:w="1350" w:type="dxa"/>
            <w:tcMar>
              <w:left w:w="120" w:type="dxa"/>
            </w:tcMar>
            <w:vAlign w:val="center"/>
          </w:tcPr>
          <w:p w14:paraId="15CF6A53">
            <w:pPr>
              <w:spacing w:line="240" w:lineRule="auto"/>
              <w:rPr>
                <w:sz w:val="28"/>
                <w:szCs w:val="28"/>
              </w:rPr>
            </w:pPr>
            <w:r>
              <w:rPr>
                <w:rFonts w:ascii="方正黑体_GBK" w:hAnsi="方正黑体_GBK" w:eastAsia="方正黑体_GBK" w:cs="宋体"/>
                <w:sz w:val="20"/>
                <w:szCs w:val="24"/>
              </w:rPr>
              <w:t>95313</w:t>
            </w:r>
          </w:p>
        </w:tc>
      </w:tr>
      <w:tr w14:paraId="2C81C504">
        <w:trPr>
          <w:trHeight w:val="300" w:hRule="atLeast"/>
        </w:trPr>
        <w:tc>
          <w:tcPr>
            <w:tcW w:w="2100" w:type="dxa"/>
            <w:tcMar>
              <w:left w:w="120" w:type="dxa"/>
            </w:tcMar>
            <w:vAlign w:val="center"/>
          </w:tcPr>
          <w:p w14:paraId="19401101">
            <w:pPr>
              <w:spacing w:line="240" w:lineRule="auto"/>
              <w:rPr>
                <w:sz w:val="28"/>
                <w:szCs w:val="28"/>
              </w:rPr>
            </w:pPr>
            <w:r>
              <w:rPr>
                <w:rFonts w:ascii="方正黑体_GBK" w:hAnsi="方正黑体_GBK" w:eastAsia="方正黑体_GBK" w:cs="宋体"/>
                <w:sz w:val="20"/>
                <w:szCs w:val="24"/>
              </w:rPr>
              <w:t>江苏泰州农村商业银行股份有限公司</w:t>
            </w:r>
          </w:p>
        </w:tc>
        <w:tc>
          <w:tcPr>
            <w:tcW w:w="4050" w:type="dxa"/>
            <w:tcMar>
              <w:left w:w="120" w:type="dxa"/>
            </w:tcMar>
            <w:vAlign w:val="center"/>
          </w:tcPr>
          <w:p w14:paraId="3A21C0BE">
            <w:pPr>
              <w:spacing w:line="240" w:lineRule="auto"/>
              <w:rPr>
                <w:sz w:val="28"/>
                <w:szCs w:val="28"/>
              </w:rPr>
            </w:pPr>
            <w:r>
              <w:rPr>
                <w:rFonts w:ascii="方正黑体_GBK" w:hAnsi="方正黑体_GBK" w:eastAsia="方正黑体_GBK" w:cs="宋体"/>
                <w:sz w:val="20"/>
                <w:szCs w:val="24"/>
              </w:rPr>
              <w:t>泰州市海陵区西仓路36号</w:t>
            </w:r>
          </w:p>
        </w:tc>
        <w:tc>
          <w:tcPr>
            <w:tcW w:w="1350" w:type="dxa"/>
            <w:tcMar>
              <w:left w:w="120" w:type="dxa"/>
            </w:tcMar>
            <w:vAlign w:val="center"/>
          </w:tcPr>
          <w:p w14:paraId="2FA5C82F">
            <w:pPr>
              <w:spacing w:line="240" w:lineRule="auto"/>
              <w:rPr>
                <w:sz w:val="28"/>
                <w:szCs w:val="28"/>
              </w:rPr>
            </w:pPr>
            <w:r>
              <w:rPr>
                <w:rFonts w:ascii="方正黑体_GBK" w:hAnsi="方正黑体_GBK" w:eastAsia="方正黑体_GBK" w:cs="宋体"/>
                <w:sz w:val="20"/>
                <w:szCs w:val="24"/>
              </w:rPr>
              <w:t>96008</w:t>
            </w:r>
          </w:p>
        </w:tc>
      </w:tr>
      <w:tr w14:paraId="7C4EA614">
        <w:trPr>
          <w:trHeight w:val="300" w:hRule="atLeast"/>
        </w:trPr>
        <w:tc>
          <w:tcPr>
            <w:tcW w:w="2100" w:type="dxa"/>
            <w:tcMar>
              <w:left w:w="120" w:type="dxa"/>
            </w:tcMar>
            <w:vAlign w:val="center"/>
          </w:tcPr>
          <w:p w14:paraId="5CFB159E">
            <w:pPr>
              <w:spacing w:line="240" w:lineRule="auto"/>
              <w:rPr>
                <w:sz w:val="28"/>
                <w:szCs w:val="28"/>
              </w:rPr>
            </w:pPr>
            <w:r>
              <w:rPr>
                <w:rFonts w:ascii="方正黑体_GBK" w:hAnsi="方正黑体_GBK" w:eastAsia="方正黑体_GBK" w:cs="宋体"/>
                <w:sz w:val="20"/>
                <w:szCs w:val="24"/>
              </w:rPr>
              <w:t>朝阳银行股份有限公司</w:t>
            </w:r>
          </w:p>
        </w:tc>
        <w:tc>
          <w:tcPr>
            <w:tcW w:w="4050" w:type="dxa"/>
            <w:tcMar>
              <w:left w:w="120" w:type="dxa"/>
            </w:tcMar>
            <w:vAlign w:val="center"/>
          </w:tcPr>
          <w:p w14:paraId="37271B55">
            <w:pPr>
              <w:spacing w:line="240" w:lineRule="auto"/>
              <w:rPr>
                <w:sz w:val="28"/>
                <w:szCs w:val="28"/>
              </w:rPr>
            </w:pPr>
            <w:r>
              <w:rPr>
                <w:rFonts w:ascii="方正黑体_GBK" w:hAnsi="方正黑体_GBK" w:eastAsia="方正黑体_GBK" w:cs="宋体"/>
                <w:sz w:val="20"/>
                <w:szCs w:val="24"/>
              </w:rPr>
              <w:t>朝阳市双塔区朝阳大街三段4号</w:t>
            </w:r>
          </w:p>
        </w:tc>
        <w:tc>
          <w:tcPr>
            <w:tcW w:w="1350" w:type="dxa"/>
            <w:tcMar>
              <w:left w:w="120" w:type="dxa"/>
            </w:tcMar>
            <w:vAlign w:val="center"/>
          </w:tcPr>
          <w:p w14:paraId="3400860F">
            <w:pPr>
              <w:spacing w:line="240" w:lineRule="auto"/>
              <w:rPr>
                <w:sz w:val="28"/>
                <w:szCs w:val="28"/>
              </w:rPr>
            </w:pPr>
            <w:r>
              <w:rPr>
                <w:rFonts w:ascii="方正黑体_GBK" w:hAnsi="方正黑体_GBK" w:eastAsia="方正黑体_GBK" w:cs="宋体"/>
                <w:sz w:val="20"/>
                <w:szCs w:val="24"/>
              </w:rPr>
              <w:t>0421-2632275</w:t>
            </w:r>
          </w:p>
        </w:tc>
      </w:tr>
    </w:tbl>
    <w:p w14:paraId="4FFDE1B3">
      <w:pPr>
        <w:pStyle w:val="29"/>
        <w:pBdr>
          <w:top w:val="none" w:color="auto" w:sz="0" w:space="0"/>
          <w:left w:val="none" w:color="auto" w:sz="0" w:space="0"/>
          <w:bottom w:val="none" w:color="auto" w:sz="0" w:space="0"/>
          <w:right w:val="none" w:color="auto" w:sz="0" w:space="0"/>
        </w:pBdr>
        <w:spacing w:line="240" w:lineRule="auto"/>
        <w:ind w:firstLine="400" w:firstLineChars="200"/>
        <w:rPr>
          <w:rFonts w:hint="eastAsia" w:ascii="方正黑体_GBK" w:hAnsi="方正黑体_GBK" w:eastAsia="方正黑体_GBK" w:cs="宋体"/>
          <w:vanish w:val="0"/>
          <w:sz w:val="20"/>
          <w:szCs w:val="20"/>
        </w:rPr>
      </w:pPr>
      <w:r>
        <w:rPr>
          <w:rFonts w:hint="eastAsia" w:ascii="方正黑体_GBK" w:hAnsi="方正黑体_GBK" w:eastAsia="方正黑体_GBK" w:cs="宋体"/>
          <w:vanish w:val="0"/>
          <w:sz w:val="20"/>
          <w:szCs w:val="20"/>
        </w:rPr>
        <w:t>（二）关联关系信息</w:t>
      </w:r>
    </w:p>
    <w:p w14:paraId="2F6A6F63">
      <w:pPr>
        <w:pStyle w:val="29"/>
        <w:pBdr>
          <w:top w:val="none" w:color="auto" w:sz="0" w:space="0"/>
          <w:left w:val="none" w:color="auto" w:sz="0" w:space="0"/>
          <w:bottom w:val="none" w:color="auto" w:sz="0" w:space="0"/>
          <w:right w:val="none" w:color="auto" w:sz="0" w:space="0"/>
        </w:pBdr>
        <w:spacing w:line="240" w:lineRule="auto"/>
        <w:ind w:firstLine="400" w:firstLineChars="200"/>
        <w:rPr>
          <w:rFonts w:hint="eastAsia" w:ascii="方正黑体_GBK" w:hAnsi="方正黑体_GBK" w:eastAsia="方正黑体_GBK" w:cs="宋体"/>
          <w:vanish w:val="0"/>
          <w:sz w:val="20"/>
          <w:szCs w:val="20"/>
        </w:rPr>
      </w:pPr>
      <w:r>
        <w:rPr>
          <w:rFonts w:hint="eastAsia" w:ascii="方正黑体_GBK" w:hAnsi="方正黑体_GBK" w:eastAsia="方正黑体_GBK" w:cs="宋体"/>
          <w:vanish w:val="0"/>
          <w:sz w:val="20"/>
          <w:szCs w:val="20"/>
        </w:rPr>
        <w:t>（1）与管理人有关联关系的机构信息如下</w:t>
      </w:r>
    </w:p>
    <w:tbl>
      <w:tblPr>
        <w:tblStyle w:val="12"/>
        <w:tblW w:w="0" w:type="auto"/>
        <w:tblInd w:w="36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 w:type="dxa"/>
          <w:bottom w:w="0" w:type="dxa"/>
          <w:right w:w="10" w:type="dxa"/>
        </w:tblCellMar>
      </w:tblPr>
      <w:tblGrid>
        <w:gridCol w:w="3000"/>
        <w:gridCol w:w="4500"/>
      </w:tblGrid>
      <w:tr w14:paraId="30CFE269">
        <w:trPr>
          <w:trHeight w:val="300" w:hRule="atLeast"/>
        </w:trPr>
        <w:tc>
          <w:tcPr>
            <w:tcW w:w="3000" w:type="dxa"/>
            <w:vAlign w:val="center"/>
          </w:tcPr>
          <w:p w14:paraId="7029921A">
            <w:pPr>
              <w:spacing w:line="240" w:lineRule="auto"/>
              <w:jc w:val="center"/>
              <w:rPr>
                <w:sz w:val="28"/>
                <w:szCs w:val="28"/>
              </w:rPr>
            </w:pPr>
            <w:r>
              <w:rPr>
                <w:rFonts w:ascii="方正黑体_GBK" w:hAnsi="方正黑体_GBK" w:eastAsia="方正黑体_GBK" w:cs="宋体"/>
                <w:b/>
                <w:sz w:val="20"/>
                <w:szCs w:val="24"/>
              </w:rPr>
              <w:t>机构名称</w:t>
            </w:r>
          </w:p>
        </w:tc>
        <w:tc>
          <w:tcPr>
            <w:tcW w:w="4500" w:type="dxa"/>
            <w:vAlign w:val="center"/>
          </w:tcPr>
          <w:p w14:paraId="52C21A49">
            <w:pPr>
              <w:spacing w:line="240" w:lineRule="auto"/>
              <w:jc w:val="center"/>
              <w:rPr>
                <w:sz w:val="28"/>
                <w:szCs w:val="28"/>
              </w:rPr>
            </w:pPr>
            <w:r>
              <w:rPr>
                <w:rFonts w:ascii="方正黑体_GBK" w:hAnsi="方正黑体_GBK" w:eastAsia="方正黑体_GBK" w:cs="宋体"/>
                <w:b/>
                <w:sz w:val="20"/>
                <w:szCs w:val="24"/>
              </w:rPr>
              <w:t>关联关系</w:t>
            </w:r>
          </w:p>
        </w:tc>
      </w:tr>
      <w:tr w14:paraId="5063EFB5">
        <w:trPr>
          <w:trHeight w:val="300" w:hRule="atLeast"/>
        </w:trPr>
        <w:tc>
          <w:tcPr>
            <w:tcW w:w="3000" w:type="dxa"/>
            <w:tcMar>
              <w:left w:w="120" w:type="dxa"/>
            </w:tcMar>
            <w:vAlign w:val="center"/>
          </w:tcPr>
          <w:p w14:paraId="016DED77">
            <w:pPr>
              <w:spacing w:line="240" w:lineRule="auto"/>
              <w:rPr>
                <w:sz w:val="28"/>
                <w:szCs w:val="28"/>
              </w:rPr>
            </w:pPr>
            <w:r>
              <w:rPr>
                <w:rFonts w:ascii="方正黑体_GBK" w:hAnsi="方正黑体_GBK" w:eastAsia="方正黑体_GBK" w:cs="宋体"/>
                <w:sz w:val="20"/>
                <w:szCs w:val="24"/>
              </w:rPr>
              <w:t>江苏丹阳农村商业银行股份有限公司</w:t>
            </w:r>
          </w:p>
        </w:tc>
        <w:tc>
          <w:tcPr>
            <w:tcW w:w="4500" w:type="dxa"/>
            <w:tcMar>
              <w:left w:w="120" w:type="dxa"/>
            </w:tcMar>
            <w:vAlign w:val="center"/>
          </w:tcPr>
          <w:p w14:paraId="3BF43043">
            <w:pPr>
              <w:spacing w:line="240" w:lineRule="auto"/>
              <w:rPr>
                <w:sz w:val="28"/>
                <w:szCs w:val="28"/>
              </w:rPr>
            </w:pPr>
            <w:r>
              <w:rPr>
                <w:rFonts w:ascii="方正黑体_GBK" w:hAnsi="方正黑体_GBK" w:eastAsia="方正黑体_GBK" w:cs="宋体"/>
                <w:sz w:val="20"/>
                <w:szCs w:val="24"/>
              </w:rPr>
              <w:t>发行机构的董事、高管及其近亲属控制的法人或非法人组织</w:t>
            </w:r>
          </w:p>
        </w:tc>
      </w:tr>
      <w:tr w14:paraId="1DA26EA6">
        <w:trPr>
          <w:trHeight w:val="300" w:hRule="atLeast"/>
        </w:trPr>
        <w:tc>
          <w:tcPr>
            <w:tcW w:w="3000" w:type="dxa"/>
            <w:tcMar>
              <w:left w:w="120" w:type="dxa"/>
            </w:tcMar>
            <w:vAlign w:val="center"/>
          </w:tcPr>
          <w:p w14:paraId="74EE0D36">
            <w:pPr>
              <w:spacing w:line="240" w:lineRule="auto"/>
              <w:rPr>
                <w:sz w:val="28"/>
                <w:szCs w:val="28"/>
              </w:rPr>
            </w:pPr>
            <w:r>
              <w:rPr>
                <w:rFonts w:ascii="方正黑体_GBK" w:hAnsi="方正黑体_GBK" w:eastAsia="方正黑体_GBK" w:cs="宋体"/>
                <w:sz w:val="20"/>
                <w:szCs w:val="24"/>
              </w:rPr>
              <w:t>江苏江南农村商业银行股份有限公司</w:t>
            </w:r>
          </w:p>
        </w:tc>
        <w:tc>
          <w:tcPr>
            <w:tcW w:w="4500" w:type="dxa"/>
            <w:tcMar>
              <w:left w:w="120" w:type="dxa"/>
            </w:tcMar>
            <w:vAlign w:val="center"/>
          </w:tcPr>
          <w:p w14:paraId="5E790EA5">
            <w:pPr>
              <w:spacing w:line="240" w:lineRule="auto"/>
              <w:rPr>
                <w:sz w:val="28"/>
                <w:szCs w:val="28"/>
              </w:rPr>
            </w:pPr>
            <w:r>
              <w:rPr>
                <w:rFonts w:ascii="方正黑体_GBK" w:hAnsi="方正黑体_GBK" w:eastAsia="方正黑体_GBK" w:cs="宋体"/>
                <w:sz w:val="20"/>
                <w:szCs w:val="24"/>
              </w:rPr>
              <w:t>发行机构的董事、高管及其近亲属控制的法人或非法人组织</w:t>
            </w:r>
          </w:p>
        </w:tc>
      </w:tr>
      <w:tr w14:paraId="78E68D67">
        <w:trPr>
          <w:trHeight w:val="300" w:hRule="atLeast"/>
        </w:trPr>
        <w:tc>
          <w:tcPr>
            <w:tcW w:w="3000" w:type="dxa"/>
            <w:tcMar>
              <w:left w:w="120" w:type="dxa"/>
            </w:tcMar>
            <w:vAlign w:val="center"/>
          </w:tcPr>
          <w:p w14:paraId="153AC40B">
            <w:pPr>
              <w:spacing w:line="240" w:lineRule="auto"/>
              <w:rPr>
                <w:sz w:val="28"/>
                <w:szCs w:val="28"/>
              </w:rPr>
            </w:pPr>
            <w:r>
              <w:rPr>
                <w:rFonts w:ascii="方正黑体_GBK" w:hAnsi="方正黑体_GBK" w:eastAsia="方正黑体_GBK" w:cs="宋体"/>
                <w:sz w:val="20"/>
                <w:szCs w:val="24"/>
              </w:rPr>
              <w:t>昆山鹿城村镇银行股份有限公司</w:t>
            </w:r>
          </w:p>
        </w:tc>
        <w:tc>
          <w:tcPr>
            <w:tcW w:w="4500" w:type="dxa"/>
            <w:tcMar>
              <w:left w:w="120" w:type="dxa"/>
            </w:tcMar>
            <w:vAlign w:val="center"/>
          </w:tcPr>
          <w:p w14:paraId="397C9021">
            <w:pPr>
              <w:spacing w:line="240" w:lineRule="auto"/>
              <w:rPr>
                <w:sz w:val="28"/>
                <w:szCs w:val="28"/>
              </w:rPr>
            </w:pPr>
            <w:r>
              <w:rPr>
                <w:rFonts w:ascii="方正黑体_GBK" w:hAnsi="方正黑体_GBK" w:eastAsia="方正黑体_GBK" w:cs="宋体"/>
                <w:sz w:val="20"/>
                <w:szCs w:val="24"/>
              </w:rPr>
              <w:t>发行机构股东控制或可施加重大影响的法人或非法人组织</w:t>
            </w:r>
          </w:p>
        </w:tc>
      </w:tr>
      <w:tr w14:paraId="268A2278">
        <w:trPr>
          <w:trHeight w:val="300" w:hRule="atLeast"/>
        </w:trPr>
        <w:tc>
          <w:tcPr>
            <w:tcW w:w="3000" w:type="dxa"/>
            <w:tcMar>
              <w:left w:w="120" w:type="dxa"/>
            </w:tcMar>
            <w:vAlign w:val="center"/>
          </w:tcPr>
          <w:p w14:paraId="5BFC6927">
            <w:pPr>
              <w:spacing w:line="240" w:lineRule="auto"/>
              <w:rPr>
                <w:sz w:val="28"/>
                <w:szCs w:val="28"/>
              </w:rPr>
            </w:pPr>
            <w:r>
              <w:rPr>
                <w:rFonts w:ascii="方正黑体_GBK" w:hAnsi="方正黑体_GBK" w:eastAsia="方正黑体_GBK" w:cs="宋体"/>
                <w:sz w:val="20"/>
                <w:szCs w:val="24"/>
              </w:rPr>
              <w:t>南京银行股份有限公司</w:t>
            </w:r>
          </w:p>
        </w:tc>
        <w:tc>
          <w:tcPr>
            <w:tcW w:w="4500" w:type="dxa"/>
            <w:tcMar>
              <w:left w:w="120" w:type="dxa"/>
            </w:tcMar>
            <w:vAlign w:val="center"/>
          </w:tcPr>
          <w:p w14:paraId="3AB97377">
            <w:pPr>
              <w:spacing w:line="240" w:lineRule="auto"/>
              <w:rPr>
                <w:sz w:val="28"/>
                <w:szCs w:val="28"/>
              </w:rPr>
            </w:pPr>
            <w:r>
              <w:rPr>
                <w:rFonts w:ascii="方正黑体_GBK" w:hAnsi="方正黑体_GBK" w:eastAsia="方正黑体_GBK" w:cs="宋体"/>
                <w:sz w:val="20"/>
                <w:szCs w:val="24"/>
              </w:rPr>
              <w:t>发行机构股东</w:t>
            </w:r>
          </w:p>
        </w:tc>
      </w:tr>
    </w:tbl>
    <w:p w14:paraId="630049E6">
      <w:pPr>
        <w:pStyle w:val="29"/>
        <w:spacing w:line="240" w:lineRule="auto"/>
        <w:ind w:firstLine="400" w:firstLineChars="200"/>
        <w:rPr>
          <w:rFonts w:ascii="方正黑体_GBK" w:hAnsi="方正黑体_GBK" w:eastAsia="方正黑体_GBK" w:cs="宋体"/>
          <w:vanish w:val="0"/>
          <w:sz w:val="20"/>
          <w:szCs w:val="20"/>
        </w:rPr>
      </w:pPr>
      <w:r>
        <w:rPr>
          <w:rFonts w:hint="eastAsia" w:ascii="方正黑体_GBK" w:hAnsi="方正黑体_GBK" w:eastAsia="方正黑体_GBK" w:cs="宋体"/>
          <w:vanish w:val="0"/>
          <w:sz w:val="20"/>
          <w:szCs w:val="20"/>
        </w:rPr>
        <w:t>（2）与托管人有关联关系的机构信息如下</w:t>
      </w:r>
    </w:p>
    <w:tbl>
      <w:tblPr>
        <w:tblStyle w:val="12"/>
        <w:tblW w:w="0" w:type="auto"/>
        <w:tblInd w:w="36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 w:type="dxa"/>
          <w:bottom w:w="0" w:type="dxa"/>
          <w:right w:w="10" w:type="dxa"/>
        </w:tblCellMar>
      </w:tblPr>
      <w:tblGrid>
        <w:gridCol w:w="3000"/>
        <w:gridCol w:w="4500"/>
      </w:tblGrid>
      <w:tr w14:paraId="382DC453">
        <w:trPr>
          <w:trHeight w:val="300" w:hRule="atLeast"/>
        </w:trPr>
        <w:tc>
          <w:tcPr>
            <w:tcW w:w="3000" w:type="dxa"/>
            <w:vAlign w:val="center"/>
          </w:tcPr>
          <w:p w14:paraId="1BD04239">
            <w:pPr>
              <w:spacing w:line="240" w:lineRule="auto"/>
              <w:jc w:val="center"/>
              <w:rPr>
                <w:sz w:val="28"/>
                <w:szCs w:val="28"/>
              </w:rPr>
            </w:pPr>
            <w:r>
              <w:rPr>
                <w:rFonts w:ascii="方正黑体_GBK" w:hAnsi="方正黑体_GBK" w:eastAsia="方正黑体_GBK" w:cs="宋体"/>
                <w:b/>
                <w:sz w:val="20"/>
                <w:szCs w:val="24"/>
              </w:rPr>
              <w:t>机构名称</w:t>
            </w:r>
          </w:p>
        </w:tc>
        <w:tc>
          <w:tcPr>
            <w:tcW w:w="4500" w:type="dxa"/>
            <w:vAlign w:val="center"/>
          </w:tcPr>
          <w:p w14:paraId="247CF992">
            <w:pPr>
              <w:spacing w:line="240" w:lineRule="auto"/>
              <w:jc w:val="center"/>
              <w:rPr>
                <w:sz w:val="28"/>
                <w:szCs w:val="28"/>
              </w:rPr>
            </w:pPr>
            <w:r>
              <w:rPr>
                <w:rFonts w:ascii="方正黑体_GBK" w:hAnsi="方正黑体_GBK" w:eastAsia="方正黑体_GBK" w:cs="宋体"/>
                <w:b/>
                <w:sz w:val="20"/>
                <w:szCs w:val="24"/>
              </w:rPr>
              <w:t>关联关系</w:t>
            </w:r>
          </w:p>
        </w:tc>
      </w:tr>
      <w:tr w14:paraId="09BF6C05">
        <w:trPr>
          <w:trHeight w:val="300" w:hRule="atLeast"/>
        </w:trPr>
        <w:tc>
          <w:tcPr>
            <w:tcW w:w="3000" w:type="dxa"/>
            <w:tcMar>
              <w:left w:w="120" w:type="dxa"/>
            </w:tcMar>
            <w:vAlign w:val="center"/>
          </w:tcPr>
          <w:p w14:paraId="1CEE60BA">
            <w:pPr>
              <w:spacing w:line="240" w:lineRule="auto"/>
              <w:rPr>
                <w:sz w:val="28"/>
                <w:szCs w:val="28"/>
              </w:rPr>
            </w:pPr>
            <w:r>
              <w:rPr>
                <w:rFonts w:ascii="方正黑体_GBK" w:hAnsi="方正黑体_GBK" w:eastAsia="方正黑体_GBK" w:cs="宋体"/>
                <w:sz w:val="20"/>
                <w:szCs w:val="24"/>
              </w:rPr>
              <w:t>昆山鹿城村镇银行股份有限公司</w:t>
            </w:r>
          </w:p>
        </w:tc>
        <w:tc>
          <w:tcPr>
            <w:tcW w:w="4500" w:type="dxa"/>
            <w:tcMar>
              <w:left w:w="120" w:type="dxa"/>
            </w:tcMar>
            <w:vAlign w:val="center"/>
          </w:tcPr>
          <w:p w14:paraId="0701A2F8">
            <w:pPr>
              <w:spacing w:line="240" w:lineRule="auto"/>
              <w:rPr>
                <w:sz w:val="28"/>
                <w:szCs w:val="28"/>
              </w:rPr>
            </w:pPr>
            <w:r>
              <w:rPr>
                <w:rFonts w:ascii="方正黑体_GBK" w:hAnsi="方正黑体_GBK" w:eastAsia="方正黑体_GBK" w:cs="宋体"/>
                <w:sz w:val="20"/>
                <w:szCs w:val="24"/>
              </w:rPr>
              <w:t>托管机构的控股机构</w:t>
            </w:r>
          </w:p>
        </w:tc>
      </w:tr>
      <w:tr w14:paraId="30B9E377">
        <w:trPr>
          <w:trHeight w:val="300" w:hRule="atLeast"/>
        </w:trPr>
        <w:tc>
          <w:tcPr>
            <w:tcW w:w="3000" w:type="dxa"/>
            <w:tcMar>
              <w:left w:w="120" w:type="dxa"/>
            </w:tcMar>
            <w:vAlign w:val="center"/>
          </w:tcPr>
          <w:p w14:paraId="60711C33">
            <w:pPr>
              <w:spacing w:line="240" w:lineRule="auto"/>
              <w:rPr>
                <w:sz w:val="28"/>
                <w:szCs w:val="28"/>
              </w:rPr>
            </w:pPr>
            <w:r>
              <w:rPr>
                <w:rFonts w:ascii="方正黑体_GBK" w:hAnsi="方正黑体_GBK" w:eastAsia="方正黑体_GBK" w:cs="宋体"/>
                <w:sz w:val="20"/>
                <w:szCs w:val="24"/>
              </w:rPr>
              <w:t>南银理财有限责任公司</w:t>
            </w:r>
          </w:p>
        </w:tc>
        <w:tc>
          <w:tcPr>
            <w:tcW w:w="4500" w:type="dxa"/>
            <w:tcMar>
              <w:left w:w="120" w:type="dxa"/>
            </w:tcMar>
            <w:vAlign w:val="center"/>
          </w:tcPr>
          <w:p w14:paraId="5BFA6CF3">
            <w:pPr>
              <w:spacing w:line="240" w:lineRule="auto"/>
              <w:rPr>
                <w:sz w:val="28"/>
                <w:szCs w:val="28"/>
              </w:rPr>
            </w:pPr>
            <w:r>
              <w:rPr>
                <w:rFonts w:ascii="方正黑体_GBK" w:hAnsi="方正黑体_GBK" w:eastAsia="方正黑体_GBK" w:cs="宋体"/>
                <w:sz w:val="20"/>
                <w:szCs w:val="24"/>
              </w:rPr>
              <w:t>托管机构的控股机构</w:t>
            </w:r>
          </w:p>
        </w:tc>
      </w:tr>
    </w:tbl>
    <w:p w14:paraId="3D297BB4">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left="0"/>
        <w:rPr>
          <w:rFonts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第</w:t>
      </w:r>
      <w:r>
        <w:rPr>
          <w:rFonts w:hint="eastAsia" w:ascii="方正黑体_GBK" w:hAnsi="方正黑体_GBK" w:eastAsia="方正黑体_GBK" w:cs="Times New Roman"/>
          <w:b/>
          <w:bCs/>
          <w:vanish w:val="0"/>
          <w:color w:val="auto"/>
          <w:kern w:val="0"/>
          <w:sz w:val="20"/>
          <w:szCs w:val="20"/>
        </w:rPr>
        <w:t>六</w:t>
      </w:r>
      <w:r>
        <w:rPr>
          <w:rFonts w:hint="eastAsia" w:ascii="方正黑体_GBK" w:hAnsi="方正黑体_GBK" w:eastAsia="方正黑体_GBK"/>
          <w:b/>
          <w:bCs/>
          <w:vanish w:val="0"/>
          <w:color w:val="auto"/>
          <w:kern w:val="0"/>
          <w:sz w:val="20"/>
          <w:szCs w:val="20"/>
        </w:rPr>
        <w:t>条</w:t>
      </w:r>
      <w:r>
        <w:rPr>
          <w:rFonts w:hint="eastAsia" w:ascii="方正黑体_GBK" w:hAnsi="方正黑体_GBK" w:eastAsia="方正黑体_GBK" w:cs="Times New Roman"/>
          <w:b/>
          <w:bCs/>
          <w:vanish w:val="0"/>
          <w:color w:val="auto"/>
          <w:kern w:val="0"/>
          <w:sz w:val="20"/>
          <w:szCs w:val="20"/>
        </w:rPr>
        <w:t xml:space="preserve">  </w:t>
      </w:r>
      <w:r>
        <w:rPr>
          <w:rFonts w:hint="eastAsia" w:ascii="方正黑体_GBK" w:hAnsi="方正黑体_GBK" w:eastAsia="方正黑体_GBK"/>
          <w:b/>
          <w:bCs/>
          <w:vanish w:val="0"/>
          <w:color w:val="auto"/>
          <w:kern w:val="0"/>
          <w:sz w:val="20"/>
          <w:szCs w:val="20"/>
        </w:rPr>
        <w:t>信息披露</w:t>
      </w:r>
    </w:p>
    <w:p w14:paraId="1DF0535C">
      <w:pPr>
        <w:pStyle w:val="29"/>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suppressAutoHyphens w:val="0"/>
        <w:spacing w:line="240" w:lineRule="auto"/>
        <w:ind w:left="0" w:firstLine="400" w:firstLineChars="200"/>
        <w:rPr>
          <w:rFonts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信息披露渠道</w:t>
      </w:r>
    </w:p>
    <w:p w14:paraId="455825E5">
      <w:pPr>
        <w:spacing w:line="240" w:lineRule="auto"/>
        <w:rPr>
          <w:sz w:val="28"/>
          <w:szCs w:val="28"/>
        </w:rPr>
      </w:pPr>
      <w:r>
        <w:rPr>
          <w:rFonts w:ascii="方正黑体_GBK" w:hAnsi="方正黑体_GBK" w:eastAsia="方正黑体_GBK" w:cs="宋体"/>
          <w:color w:val="3D3D3D"/>
          <w:sz w:val="20"/>
          <w:szCs w:val="24"/>
        </w:rPr>
        <w:t xml:space="preserve">  本理财产品的信息披露渠道包括但不限于南银理财官网（www.nanyinwealth.com）、代销机构官网（详见投资者权益须知第八条）或短信等，投资者可通过上述渠道查询产品相关信息。相关信息自信息披露之日即视为已送达投资者。如投资者因未适时查询等自身原因，或由于通讯故障、系统故障以及其他不可抗力等因素的影响使得投资者无法了解产品信息，并由此影响投资者的投资决策，因此产生责任和风险由投资者承担。</w:t>
      </w:r>
    </w:p>
    <w:p w14:paraId="7FEC930E">
      <w:pPr>
        <w:pStyle w:val="29"/>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suppressAutoHyphens w:val="0"/>
        <w:spacing w:line="240" w:lineRule="auto"/>
        <w:ind w:left="0" w:firstLine="400" w:firstLineChars="200"/>
        <w:rPr>
          <w:rFonts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信息披露的内容及时间</w:t>
      </w:r>
    </w:p>
    <w:p w14:paraId="175B527B">
      <w:pPr>
        <w:spacing w:line="240" w:lineRule="auto"/>
        <w:ind w:firstLine="300"/>
        <w:rPr>
          <w:sz w:val="28"/>
          <w:szCs w:val="28"/>
        </w:rPr>
      </w:pPr>
      <w:r>
        <w:rPr>
          <w:rFonts w:ascii="方正黑体_GBK" w:hAnsi="方正黑体_GBK" w:eastAsia="方正黑体_GBK" w:cs="宋体"/>
          <w:color w:val="3D3D3D"/>
          <w:sz w:val="20"/>
          <w:szCs w:val="24"/>
        </w:rPr>
        <w:t>1.净值信息</w:t>
      </w:r>
    </w:p>
    <w:p w14:paraId="3E7131B8">
      <w:pPr>
        <w:spacing w:line="240" w:lineRule="auto"/>
        <w:ind w:firstLine="300"/>
        <w:rPr>
          <w:sz w:val="28"/>
          <w:szCs w:val="28"/>
        </w:rPr>
      </w:pPr>
      <w:r>
        <w:rPr>
          <w:rFonts w:ascii="方正黑体_GBK" w:hAnsi="方正黑体_GBK" w:eastAsia="方正黑体_GBK" w:cs="宋体"/>
          <w:color w:val="3D3D3D"/>
          <w:sz w:val="20"/>
          <w:szCs w:val="24"/>
        </w:rPr>
        <w:t>管理人在本理财产品存续期间至少</w:t>
      </w:r>
      <w:r>
        <w:rPr>
          <w:rFonts w:ascii="方正黑体_GBK" w:hAnsi="方正黑体_GBK" w:eastAsia="方正黑体_GBK" w:cs="宋体"/>
          <w:color w:val="3D3D3D"/>
          <w:sz w:val="20"/>
          <w:szCs w:val="24"/>
          <w:shd w:val="clear" w:fill="FFFFFF"/>
        </w:rPr>
        <w:t>按周</w:t>
      </w:r>
      <w:r>
        <w:rPr>
          <w:rFonts w:ascii="方正黑体_GBK" w:hAnsi="方正黑体_GBK" w:eastAsia="方正黑体_GBK" w:cs="宋体"/>
          <w:color w:val="3D3D3D"/>
          <w:sz w:val="20"/>
          <w:szCs w:val="24"/>
        </w:rPr>
        <w:t>向投资者披露净值。</w:t>
      </w:r>
    </w:p>
    <w:p w14:paraId="7C19984F">
      <w:pPr>
        <w:spacing w:line="240" w:lineRule="auto"/>
        <w:ind w:firstLine="300"/>
        <w:rPr>
          <w:sz w:val="28"/>
          <w:szCs w:val="28"/>
        </w:rPr>
      </w:pPr>
      <w:r>
        <w:rPr>
          <w:rFonts w:ascii="方正黑体_GBK" w:hAnsi="方正黑体_GBK" w:eastAsia="方正黑体_GBK" w:cs="宋体"/>
          <w:color w:val="3D3D3D"/>
          <w:sz w:val="20"/>
          <w:szCs w:val="24"/>
        </w:rPr>
        <w:t>2.产品发行公告</w:t>
      </w:r>
    </w:p>
    <w:p w14:paraId="5C92BB9F">
      <w:pPr>
        <w:spacing w:line="240" w:lineRule="auto"/>
        <w:ind w:firstLine="300"/>
        <w:rPr>
          <w:sz w:val="28"/>
          <w:szCs w:val="28"/>
        </w:rPr>
      </w:pPr>
      <w:r>
        <w:rPr>
          <w:rFonts w:ascii="方正黑体_GBK" w:hAnsi="方正黑体_GBK" w:eastAsia="方正黑体_GBK" w:cs="宋体"/>
          <w:color w:val="3D3D3D"/>
          <w:sz w:val="20"/>
          <w:szCs w:val="24"/>
        </w:rPr>
        <w:t>管理人将在本理财产品成立后5个工作日内披露产品发行公告。</w:t>
      </w:r>
    </w:p>
    <w:p w14:paraId="43D39E3A">
      <w:pPr>
        <w:spacing w:line="240" w:lineRule="auto"/>
        <w:ind w:firstLine="300"/>
        <w:rPr>
          <w:sz w:val="28"/>
          <w:szCs w:val="28"/>
        </w:rPr>
      </w:pPr>
      <w:r>
        <w:rPr>
          <w:rFonts w:ascii="方正黑体_GBK" w:hAnsi="方正黑体_GBK" w:eastAsia="方正黑体_GBK" w:cs="宋体"/>
          <w:color w:val="3D3D3D"/>
          <w:sz w:val="20"/>
          <w:szCs w:val="24"/>
        </w:rPr>
        <w:t>3.定期报告</w:t>
      </w:r>
    </w:p>
    <w:p w14:paraId="61284E5C">
      <w:pPr>
        <w:spacing w:line="240" w:lineRule="auto"/>
        <w:ind w:firstLine="300"/>
        <w:rPr>
          <w:sz w:val="28"/>
          <w:szCs w:val="28"/>
        </w:rPr>
      </w:pPr>
      <w:r>
        <w:rPr>
          <w:rFonts w:ascii="方正黑体_GBK" w:hAnsi="方正黑体_GBK" w:eastAsia="方正黑体_GBK" w:cs="宋体"/>
          <w:color w:val="3D3D3D"/>
          <w:sz w:val="20"/>
          <w:szCs w:val="24"/>
        </w:rPr>
        <w:t>管理人将在每个季度结束之日起15个工作日内、上半年结束之日起60个工作日内、每年结束之日起90个工作日内披露本理财产品的季度、半年和年度报告，如果本理财产品成立不足90个工作日或者剩余存续期不超过90个工作日的，管理人可以不编制产品当期的季度、半年和年度报告。</w:t>
      </w:r>
    </w:p>
    <w:p w14:paraId="65649930">
      <w:pPr>
        <w:spacing w:line="240" w:lineRule="auto"/>
        <w:ind w:firstLine="300"/>
        <w:rPr>
          <w:sz w:val="28"/>
          <w:szCs w:val="28"/>
        </w:rPr>
      </w:pPr>
      <w:r>
        <w:rPr>
          <w:rFonts w:ascii="方正黑体_GBK" w:hAnsi="方正黑体_GBK" w:eastAsia="方正黑体_GBK" w:cs="宋体"/>
          <w:color w:val="3D3D3D"/>
          <w:sz w:val="20"/>
          <w:szCs w:val="24"/>
        </w:rPr>
        <w:t>4.到期公告</w:t>
      </w:r>
    </w:p>
    <w:p w14:paraId="5479E381">
      <w:pPr>
        <w:spacing w:line="240" w:lineRule="auto"/>
        <w:ind w:firstLine="300"/>
        <w:rPr>
          <w:sz w:val="28"/>
          <w:szCs w:val="28"/>
        </w:rPr>
      </w:pPr>
      <w:r>
        <w:rPr>
          <w:rFonts w:ascii="方正黑体_GBK" w:hAnsi="方正黑体_GBK" w:eastAsia="方正黑体_GBK" w:cs="宋体"/>
          <w:color w:val="3D3D3D"/>
          <w:sz w:val="20"/>
          <w:szCs w:val="24"/>
        </w:rPr>
        <w:t>管理人将在本理财产品终止后5个工作日内披露产品到期公告。</w:t>
      </w:r>
    </w:p>
    <w:p w14:paraId="5D35B1F0">
      <w:pPr>
        <w:spacing w:line="240" w:lineRule="auto"/>
        <w:ind w:firstLine="300"/>
        <w:rPr>
          <w:sz w:val="28"/>
          <w:szCs w:val="28"/>
        </w:rPr>
      </w:pPr>
      <w:r>
        <w:rPr>
          <w:rFonts w:ascii="方正黑体_GBK" w:hAnsi="方正黑体_GBK" w:eastAsia="方正黑体_GBK" w:cs="宋体"/>
          <w:color w:val="3D3D3D"/>
          <w:sz w:val="20"/>
          <w:szCs w:val="24"/>
        </w:rPr>
        <w:t>5.重大事项公告</w:t>
      </w:r>
    </w:p>
    <w:p w14:paraId="01CBDA40">
      <w:pPr>
        <w:spacing w:line="240" w:lineRule="auto"/>
        <w:ind w:firstLine="300"/>
        <w:rPr>
          <w:sz w:val="28"/>
          <w:szCs w:val="28"/>
        </w:rPr>
      </w:pPr>
      <w:r>
        <w:rPr>
          <w:rFonts w:ascii="方正黑体_GBK" w:hAnsi="方正黑体_GBK" w:eastAsia="方正黑体_GBK" w:cs="宋体"/>
          <w:color w:val="3D3D3D"/>
          <w:sz w:val="20"/>
          <w:szCs w:val="24"/>
        </w:rPr>
        <w:t>管理人将在发生可能对本理财产品投资者或者理财产品收益产生重大影响的事件后2个工作日内披露重大事项公告。</w:t>
      </w:r>
    </w:p>
    <w:p w14:paraId="46398A30">
      <w:pPr>
        <w:spacing w:line="240" w:lineRule="auto"/>
        <w:ind w:firstLine="300"/>
        <w:rPr>
          <w:sz w:val="28"/>
          <w:szCs w:val="28"/>
        </w:rPr>
      </w:pPr>
      <w:r>
        <w:rPr>
          <w:rFonts w:ascii="方正黑体_GBK" w:hAnsi="方正黑体_GBK" w:eastAsia="方正黑体_GBK" w:cs="宋体"/>
          <w:color w:val="3D3D3D"/>
          <w:sz w:val="20"/>
          <w:szCs w:val="24"/>
        </w:rPr>
        <w:t>6.临时公告</w:t>
      </w:r>
    </w:p>
    <w:p w14:paraId="0F1C1A17">
      <w:pPr>
        <w:spacing w:line="240" w:lineRule="auto"/>
        <w:ind w:firstLine="300"/>
        <w:rPr>
          <w:sz w:val="28"/>
          <w:szCs w:val="28"/>
        </w:rPr>
      </w:pPr>
      <w:r>
        <w:rPr>
          <w:rFonts w:ascii="方正黑体_GBK" w:hAnsi="方正黑体_GBK" w:eastAsia="方正黑体_GBK" w:cs="宋体"/>
          <w:color w:val="3D3D3D"/>
          <w:sz w:val="20"/>
          <w:szCs w:val="24"/>
        </w:rPr>
        <w:t>理财产品在运作管理过程中，发生可能对理财产品持有人权益产生影响的事项时，管理人将根据法律法规规定及时进行临时信息披露。</w:t>
      </w:r>
    </w:p>
    <w:p w14:paraId="63871668">
      <w:pPr>
        <w:spacing w:line="240" w:lineRule="auto"/>
        <w:ind w:firstLine="300"/>
        <w:rPr>
          <w:sz w:val="28"/>
          <w:szCs w:val="28"/>
        </w:rPr>
      </w:pPr>
      <w:r>
        <w:rPr>
          <w:rFonts w:ascii="方正黑体_GBK" w:hAnsi="方正黑体_GBK" w:eastAsia="方正黑体_GBK" w:cs="宋体"/>
          <w:color w:val="3D3D3D"/>
          <w:sz w:val="20"/>
          <w:szCs w:val="24"/>
        </w:rPr>
        <w:t>7.关联交易信息披露</w:t>
      </w:r>
    </w:p>
    <w:p w14:paraId="03BEE72F">
      <w:pPr>
        <w:spacing w:line="240" w:lineRule="auto"/>
        <w:ind w:firstLine="300"/>
        <w:rPr>
          <w:sz w:val="28"/>
          <w:szCs w:val="28"/>
        </w:rPr>
      </w:pPr>
      <w:r>
        <w:rPr>
          <w:rFonts w:ascii="方正黑体_GBK" w:hAnsi="方正黑体_GBK" w:eastAsia="方正黑体_GBK" w:cs="宋体"/>
          <w:color w:val="3D3D3D"/>
          <w:sz w:val="20"/>
          <w:szCs w:val="24"/>
        </w:rPr>
        <w:t>如本理财产品投资于管理人或托管机构的主要股东、实际控制人、一致行动人、最终受益人，托管机构，同一股东或托管机构控股的机构，或者与管理人或托管机构有重大利害关系的机构发行或承销的证券，或者从事其他关联交易的，应当符合理财产品投资目标、投资策略和投资者利益优先原则，按照商业原则，以不优于对非关联方同类交易的条件进行，并向投资者及时披露信息。</w:t>
      </w:r>
    </w:p>
    <w:p w14:paraId="44F09043">
      <w:pPr>
        <w:spacing w:line="240" w:lineRule="auto"/>
        <w:ind w:firstLine="300"/>
        <w:rPr>
          <w:sz w:val="28"/>
          <w:szCs w:val="28"/>
        </w:rPr>
      </w:pPr>
      <w:r>
        <w:rPr>
          <w:rFonts w:ascii="方正黑体_GBK" w:hAnsi="方正黑体_GBK" w:eastAsia="方正黑体_GBK" w:cs="宋体"/>
          <w:color w:val="3D3D3D"/>
          <w:sz w:val="20"/>
          <w:szCs w:val="24"/>
        </w:rPr>
        <w:t>8.账单</w:t>
      </w:r>
    </w:p>
    <w:p w14:paraId="64759B2B">
      <w:pPr>
        <w:spacing w:line="240" w:lineRule="auto"/>
        <w:ind w:firstLine="300"/>
        <w:rPr>
          <w:sz w:val="28"/>
          <w:szCs w:val="28"/>
        </w:rPr>
      </w:pPr>
      <w:r>
        <w:rPr>
          <w:rFonts w:ascii="方正黑体_GBK" w:hAnsi="方正黑体_GBK" w:eastAsia="方正黑体_GBK" w:cs="宋体"/>
          <w:color w:val="3D3D3D"/>
          <w:sz w:val="20"/>
          <w:szCs w:val="24"/>
        </w:rPr>
        <w:t>公募理财产品的存续期内，投资者可每月查询其所持有的理财产品账单，账单内容包括但不限于投资者持有的理财产品份额、认购金额、份额净值、份额累计净值、资产净值、收益情况、投资者理财交易账户发生的交易明细记录等信息。</w:t>
      </w:r>
    </w:p>
    <w:p w14:paraId="67E783BD">
      <w:pPr>
        <w:spacing w:line="240" w:lineRule="auto"/>
        <w:ind w:firstLine="301"/>
        <w:rPr>
          <w:sz w:val="28"/>
          <w:szCs w:val="28"/>
        </w:rPr>
      </w:pPr>
      <w:r>
        <w:rPr>
          <w:rFonts w:ascii="方正黑体_GBK" w:hAnsi="方正黑体_GBK" w:eastAsia="方正黑体_GBK" w:cs="宋体"/>
          <w:b/>
          <w:sz w:val="20"/>
          <w:szCs w:val="24"/>
        </w:rPr>
        <w:t>9.在本理财产品存续期内：</w:t>
      </w:r>
    </w:p>
    <w:p w14:paraId="667B2662">
      <w:pPr>
        <w:spacing w:line="240" w:lineRule="auto"/>
        <w:ind w:firstLine="301"/>
        <w:rPr>
          <w:sz w:val="28"/>
          <w:szCs w:val="28"/>
        </w:rPr>
      </w:pPr>
      <w:r>
        <w:rPr>
          <w:rFonts w:ascii="方正黑体_GBK" w:hAnsi="方正黑体_GBK" w:eastAsia="方正黑体_GBK" w:cs="宋体"/>
          <w:b/>
          <w:sz w:val="20"/>
          <w:szCs w:val="24"/>
        </w:rPr>
        <w:t>在本产品存续期内，如因国家法律法规、监管规定发生变化，管理人可对本说明书中已约定的投资范围、投资品种、投资比例等事项进行调整。管理人决定对说明书进行修订的，将在调整前两个工作日通过短信及南银理财官网等渠道进行信息披露。此种情况下产品管理人将开放赎回，具体以产品管理人届时信息披露的内容为准。修订后的说明书对投资者具有法律约束力。投资者不同意信息披露内容的，可在信息披露中约定的时间内赎回本理财产品。若投资者未在约定的时间内赎回全部份额或继续办理本理财产品说明书项下相关业务的，视同其接受调整内容、放弃赎回权并继续持有本理财产品。</w:t>
      </w:r>
    </w:p>
    <w:p w14:paraId="2E71DB76">
      <w:pPr>
        <w:spacing w:line="240" w:lineRule="auto"/>
        <w:ind w:firstLine="300"/>
        <w:rPr>
          <w:sz w:val="28"/>
          <w:szCs w:val="28"/>
        </w:rPr>
      </w:pPr>
      <w:r>
        <w:rPr>
          <w:rFonts w:ascii="方正黑体_GBK" w:hAnsi="方正黑体_GBK" w:eastAsia="方正黑体_GBK" w:cs="宋体"/>
          <w:color w:val="3D3D3D"/>
          <w:sz w:val="20"/>
          <w:szCs w:val="24"/>
        </w:rPr>
        <w:t>10.其他公告</w:t>
      </w:r>
    </w:p>
    <w:p w14:paraId="2FC84FFA">
      <w:pPr>
        <w:spacing w:line="240" w:lineRule="auto"/>
        <w:ind w:firstLine="300"/>
        <w:rPr>
          <w:sz w:val="28"/>
          <w:szCs w:val="28"/>
        </w:rPr>
      </w:pPr>
      <w:r>
        <w:rPr>
          <w:rFonts w:ascii="方正黑体_GBK" w:hAnsi="方正黑体_GBK" w:eastAsia="方正黑体_GBK" w:cs="宋体"/>
          <w:color w:val="3D3D3D"/>
          <w:sz w:val="20"/>
          <w:szCs w:val="24"/>
        </w:rPr>
        <w:t>理财产品在运作管理过程中，管理人根据实际运作情况发布的其他公告。</w:t>
      </w:r>
    </w:p>
    <w:p w14:paraId="4329DB1C">
      <w:pPr>
        <w:spacing w:line="240" w:lineRule="auto"/>
        <w:ind w:firstLine="300"/>
        <w:rPr>
          <w:sz w:val="28"/>
          <w:szCs w:val="28"/>
        </w:rPr>
      </w:pPr>
    </w:p>
    <w:p w14:paraId="4A5FE83B">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rPr>
          <w:rFonts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第</w:t>
      </w:r>
      <w:r>
        <w:rPr>
          <w:rFonts w:hint="eastAsia" w:ascii="方正黑体_GBK" w:hAnsi="方正黑体_GBK" w:eastAsia="方正黑体_GBK" w:cs="Times New Roman"/>
          <w:b/>
          <w:bCs/>
          <w:vanish w:val="0"/>
          <w:color w:val="auto"/>
          <w:kern w:val="0"/>
          <w:sz w:val="20"/>
          <w:szCs w:val="20"/>
        </w:rPr>
        <w:t>七</w:t>
      </w:r>
      <w:r>
        <w:rPr>
          <w:rFonts w:hint="eastAsia" w:ascii="方正黑体_GBK" w:hAnsi="方正黑体_GBK" w:eastAsia="方正黑体_GBK"/>
          <w:b/>
          <w:bCs/>
          <w:vanish w:val="0"/>
          <w:color w:val="auto"/>
          <w:kern w:val="0"/>
          <w:sz w:val="20"/>
          <w:szCs w:val="20"/>
        </w:rPr>
        <w:t>条</w:t>
      </w:r>
      <w:r>
        <w:rPr>
          <w:rFonts w:hint="eastAsia" w:ascii="方正黑体_GBK" w:hAnsi="方正黑体_GBK" w:eastAsia="方正黑体_GBK" w:cs="Times New Roman"/>
          <w:b/>
          <w:bCs/>
          <w:vanish w:val="0"/>
          <w:color w:val="auto"/>
          <w:kern w:val="0"/>
          <w:sz w:val="20"/>
          <w:szCs w:val="20"/>
        </w:rPr>
        <w:t xml:space="preserve">  投资者保护提示</w:t>
      </w:r>
    </w:p>
    <w:p w14:paraId="189597E8">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300"/>
        <w:rPr>
          <w:rFonts w:ascii="方正黑体_GBK" w:hAnsi="方正黑体_GBK" w:eastAsia="方正黑体_GBK"/>
          <w:vanish w:val="0"/>
          <w:color w:val="3D3D3D"/>
          <w:kern w:val="0"/>
          <w:sz w:val="20"/>
          <w:szCs w:val="20"/>
        </w:rPr>
      </w:pPr>
      <w:r>
        <w:rPr>
          <w:rFonts w:hint="eastAsia" w:ascii="方正黑体_GBK" w:hAnsi="方正黑体_GBK" w:eastAsia="方正黑体_GBK" w:cs="Times New Roman"/>
          <w:vanish w:val="0"/>
          <w:color w:val="3D3D3D"/>
          <w:kern w:val="0"/>
          <w:sz w:val="20"/>
          <w:szCs w:val="20"/>
        </w:rPr>
        <w:t>您如对销售机构产品推介和销售等服务有任何意见或建议，您可通过拨打销售机构客服电话进行咨询及反馈。</w:t>
      </w:r>
    </w:p>
    <w:p w14:paraId="520F4F41">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300"/>
        <w:rPr>
          <w:rFonts w:ascii="方正黑体_GBK" w:hAnsi="方正黑体_GBK" w:eastAsia="方正黑体_GBK"/>
          <w:vanish w:val="0"/>
          <w:color w:val="3D3D3D"/>
          <w:kern w:val="0"/>
          <w:sz w:val="20"/>
          <w:szCs w:val="20"/>
        </w:rPr>
      </w:pPr>
      <w:r>
        <w:rPr>
          <w:rFonts w:hint="eastAsia" w:ascii="方正黑体_GBK" w:hAnsi="方正黑体_GBK" w:eastAsia="方正黑体_GBK" w:cs="Times New Roman"/>
          <w:vanish w:val="0"/>
          <w:color w:val="3D3D3D"/>
          <w:kern w:val="0"/>
          <w:sz w:val="20"/>
          <w:szCs w:val="20"/>
        </w:rPr>
        <w:t>您如对理财产品设计、投资管理等事项有任何意见或建议，您可通过拨打管理人客服电话进行咨询及反馈。</w:t>
      </w:r>
    </w:p>
    <w:p w14:paraId="2BF07681">
      <w:pPr>
        <w:pStyle w:val="29"/>
        <w:keepNext w:val="0"/>
        <w:keepLines w:val="0"/>
        <w:pageBreakBefore w:val="0"/>
        <w:widowControl/>
        <w:suppressLineNumbers w:val="0"/>
        <w:suppressAutoHyphens w:val="0"/>
        <w:spacing w:line="240" w:lineRule="auto"/>
        <w:ind w:firstLine="300"/>
        <w:rPr>
          <w:rFonts w:hint="eastAsia" w:ascii="方正黑体_GBK" w:hAnsi="方正黑体_GBK" w:eastAsia="方正黑体_GBK"/>
          <w:color w:val="3D3D3D"/>
          <w:kern w:val="0"/>
          <w:sz w:val="20"/>
          <w:szCs w:val="20"/>
          <w:lang w:val="en-US" w:eastAsia="zh-CN"/>
        </w:rPr>
      </w:pPr>
      <w:r>
        <w:rPr>
          <w:rFonts w:hint="eastAsia" w:ascii="方正黑体_GBK" w:hAnsi="方正黑体_GBK" w:eastAsia="方正黑体_GBK" w:cs="Times New Roman"/>
          <w:vanish w:val="0"/>
          <w:color w:val="3D3D3D"/>
          <w:kern w:val="0"/>
          <w:sz w:val="20"/>
          <w:szCs w:val="20"/>
        </w:rPr>
        <w:t>销售机构及管理人的联系方式详见《投资者权益须知》第八条。</w:t>
      </w:r>
    </w:p>
    <w:p w14:paraId="44258625">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rPr>
          <w:rFonts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第</w:t>
      </w:r>
      <w:r>
        <w:rPr>
          <w:rFonts w:hint="eastAsia" w:ascii="方正黑体_GBK" w:hAnsi="方正黑体_GBK" w:eastAsia="方正黑体_GBK" w:cs="Times New Roman"/>
          <w:b/>
          <w:bCs/>
          <w:vanish w:val="0"/>
          <w:color w:val="auto"/>
          <w:kern w:val="0"/>
          <w:sz w:val="20"/>
          <w:szCs w:val="20"/>
        </w:rPr>
        <w:t>八</w:t>
      </w:r>
      <w:r>
        <w:rPr>
          <w:rFonts w:hint="eastAsia" w:ascii="方正黑体_GBK" w:hAnsi="方正黑体_GBK" w:eastAsia="方正黑体_GBK"/>
          <w:b/>
          <w:bCs/>
          <w:vanish w:val="0"/>
          <w:color w:val="auto"/>
          <w:kern w:val="0"/>
          <w:sz w:val="20"/>
          <w:szCs w:val="20"/>
        </w:rPr>
        <w:t>条</w:t>
      </w:r>
      <w:r>
        <w:rPr>
          <w:rFonts w:hint="eastAsia" w:ascii="方正黑体_GBK" w:hAnsi="方正黑体_GBK" w:eastAsia="方正黑体_GBK" w:cs="Times New Roman"/>
          <w:b/>
          <w:bCs/>
          <w:vanish w:val="0"/>
          <w:color w:val="auto"/>
          <w:kern w:val="0"/>
          <w:sz w:val="20"/>
          <w:szCs w:val="20"/>
        </w:rPr>
        <w:t xml:space="preserve">  </w:t>
      </w:r>
      <w:r>
        <w:rPr>
          <w:rFonts w:hint="eastAsia" w:ascii="方正黑体_GBK" w:hAnsi="方正黑体_GBK" w:eastAsia="方正黑体_GBK"/>
          <w:b/>
          <w:bCs/>
          <w:vanish w:val="0"/>
          <w:color w:val="auto"/>
          <w:kern w:val="0"/>
          <w:sz w:val="20"/>
          <w:szCs w:val="20"/>
        </w:rPr>
        <w:t>法律适用和争议解决</w:t>
      </w:r>
    </w:p>
    <w:p w14:paraId="34777E23">
      <w:pPr>
        <w:pStyle w:val="29"/>
        <w:keepNext w:val="0"/>
        <w:keepLines w:val="0"/>
        <w:pageBreakBefore w:val="0"/>
        <w:widowControl/>
        <w:suppressLineNumbers w:val="0"/>
        <w:suppressAutoHyphens w:val="0"/>
        <w:spacing w:line="240" w:lineRule="auto"/>
        <w:ind w:firstLine="300"/>
        <w:rPr>
          <w:rFonts w:hint="eastAsia" w:ascii="方正黑体_GBK" w:hAnsi="方正黑体_GBK" w:eastAsia="方正黑体_GBK"/>
          <w:color w:val="3D3D3D"/>
          <w:kern w:val="0"/>
          <w:sz w:val="20"/>
          <w:szCs w:val="20"/>
          <w:lang w:val="en-US" w:eastAsia="zh-CN"/>
        </w:rPr>
      </w:pPr>
      <w:r>
        <w:rPr>
          <w:rFonts w:hint="eastAsia" w:ascii="方正黑体_GBK" w:hAnsi="方正黑体_GBK" w:eastAsia="方正黑体_GBK" w:cs="Times New Roman"/>
          <w:vanish w:val="0"/>
          <w:color w:val="3D3D3D"/>
          <w:kern w:val="0"/>
          <w:sz w:val="20"/>
          <w:szCs w:val="20"/>
        </w:rPr>
        <w:t>理财产品销售文件的订立、生效、履行、解释、修改和终止等事项的适用法律和争议解决方式按照销售协议书的相关约定执行。</w:t>
      </w:r>
    </w:p>
    <w:p w14:paraId="4026B9FC">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rPr>
          <w:rFonts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第</w:t>
      </w:r>
      <w:r>
        <w:rPr>
          <w:rFonts w:hint="eastAsia" w:ascii="方正黑体_GBK" w:hAnsi="方正黑体_GBK" w:eastAsia="方正黑体_GBK" w:cs="Times New Roman"/>
          <w:b/>
          <w:bCs/>
          <w:vanish w:val="0"/>
          <w:color w:val="auto"/>
          <w:kern w:val="0"/>
          <w:sz w:val="20"/>
          <w:szCs w:val="20"/>
        </w:rPr>
        <w:t>九</w:t>
      </w:r>
      <w:r>
        <w:rPr>
          <w:rFonts w:hint="eastAsia" w:ascii="方正黑体_GBK" w:hAnsi="方正黑体_GBK" w:eastAsia="方正黑体_GBK"/>
          <w:b/>
          <w:bCs/>
          <w:vanish w:val="0"/>
          <w:color w:val="auto"/>
          <w:kern w:val="0"/>
          <w:sz w:val="20"/>
          <w:szCs w:val="20"/>
        </w:rPr>
        <w:t>条</w:t>
      </w:r>
      <w:r>
        <w:rPr>
          <w:rFonts w:hint="eastAsia" w:ascii="方正黑体_GBK" w:hAnsi="方正黑体_GBK" w:eastAsia="方正黑体_GBK" w:cs="Times New Roman"/>
          <w:b/>
          <w:bCs/>
          <w:vanish w:val="0"/>
          <w:color w:val="auto"/>
          <w:kern w:val="0"/>
          <w:sz w:val="20"/>
          <w:szCs w:val="20"/>
        </w:rPr>
        <w:t xml:space="preserve">  </w:t>
      </w:r>
      <w:r>
        <w:rPr>
          <w:rFonts w:hint="eastAsia" w:ascii="方正黑体_GBK" w:hAnsi="方正黑体_GBK" w:eastAsia="方正黑体_GBK"/>
          <w:b/>
          <w:bCs/>
          <w:vanish w:val="0"/>
          <w:color w:val="auto"/>
          <w:kern w:val="0"/>
          <w:sz w:val="20"/>
          <w:szCs w:val="20"/>
        </w:rPr>
        <w:t>重要提示</w:t>
      </w:r>
    </w:p>
    <w:p w14:paraId="183CE624">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rPr>
          <w:rFonts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请您一定仔细阅读本理财产品销售文件，了解理财产品具体情况，关注投资风险，自主决定是否投资。</w:t>
      </w:r>
    </w:p>
    <w:p w14:paraId="0B76850F">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rPr>
          <w:rFonts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投资者特此</w:t>
      </w:r>
      <w:r>
        <w:rPr>
          <w:rFonts w:hint="eastAsia" w:ascii="方正黑体_GBK" w:hAnsi="方正黑体_GBK" w:eastAsia="方正黑体_GBK" w:cs="Times New Roman"/>
          <w:b/>
          <w:bCs/>
          <w:vanish w:val="0"/>
          <w:color w:val="auto"/>
          <w:kern w:val="0"/>
          <w:sz w:val="20"/>
          <w:szCs w:val="20"/>
        </w:rPr>
        <w:t>同</w:t>
      </w:r>
      <w:r>
        <w:rPr>
          <w:rFonts w:hint="eastAsia" w:ascii="方正黑体_GBK" w:hAnsi="方正黑体_GBK" w:eastAsia="方正黑体_GBK"/>
          <w:b/>
          <w:bCs/>
          <w:vanish w:val="0"/>
          <w:color w:val="auto"/>
          <w:kern w:val="0"/>
          <w:sz w:val="20"/>
          <w:szCs w:val="20"/>
        </w:rPr>
        <w:t>意</w:t>
      </w:r>
      <w:r>
        <w:rPr>
          <w:rFonts w:hint="eastAsia" w:ascii="方正黑体_GBK" w:hAnsi="方正黑体_GBK" w:eastAsia="方正黑体_GBK" w:cs="Times New Roman"/>
          <w:b/>
          <w:bCs/>
          <w:vanish w:val="0"/>
          <w:color w:val="auto"/>
          <w:kern w:val="0"/>
          <w:sz w:val="20"/>
          <w:szCs w:val="20"/>
        </w:rPr>
        <w:t>并授权：</w:t>
      </w:r>
      <w:r>
        <w:rPr>
          <w:rFonts w:hint="eastAsia" w:ascii="方正黑体_GBK" w:hAnsi="方正黑体_GBK" w:eastAsia="方正黑体_GBK"/>
          <w:b/>
          <w:bCs/>
          <w:vanish w:val="0"/>
          <w:color w:val="auto"/>
          <w:kern w:val="0"/>
          <w:sz w:val="20"/>
          <w:szCs w:val="20"/>
        </w:rPr>
        <w:t>管理人</w:t>
      </w:r>
      <w:r>
        <w:rPr>
          <w:rFonts w:hint="eastAsia" w:ascii="方正黑体_GBK" w:hAnsi="方正黑体_GBK" w:eastAsia="方正黑体_GBK" w:cs="Times New Roman"/>
          <w:b/>
          <w:bCs/>
          <w:vanish w:val="0"/>
          <w:color w:val="auto"/>
          <w:kern w:val="0"/>
          <w:sz w:val="20"/>
          <w:szCs w:val="20"/>
        </w:rPr>
        <w:t>及销售机构</w:t>
      </w:r>
      <w:r>
        <w:rPr>
          <w:rFonts w:hint="eastAsia" w:ascii="方正黑体_GBK" w:hAnsi="方正黑体_GBK" w:eastAsia="方正黑体_GBK"/>
          <w:b/>
          <w:bCs/>
          <w:vanish w:val="0"/>
          <w:color w:val="auto"/>
          <w:kern w:val="0"/>
          <w:sz w:val="20"/>
          <w:szCs w:val="20"/>
        </w:rPr>
        <w:t>有权按照法律法规</w:t>
      </w:r>
      <w:r>
        <w:rPr>
          <w:rFonts w:hint="eastAsia" w:ascii="方正黑体_GBK" w:hAnsi="方正黑体_GBK" w:eastAsia="方正黑体_GBK" w:cs="Times New Roman"/>
          <w:b/>
          <w:bCs/>
          <w:vanish w:val="0"/>
          <w:color w:val="auto"/>
          <w:kern w:val="0"/>
          <w:sz w:val="20"/>
          <w:szCs w:val="20"/>
        </w:rPr>
        <w:t>规定，遵循正当、必要的原则，收集、使用投资者个人信息，包括但不限于</w:t>
      </w:r>
      <w:r>
        <w:rPr>
          <w:rFonts w:hint="eastAsia" w:ascii="方正黑体_GBK" w:hAnsi="方正黑体_GBK" w:eastAsia="方正黑体_GBK"/>
          <w:b/>
          <w:bCs/>
          <w:vanish w:val="0"/>
          <w:color w:val="auto"/>
          <w:kern w:val="0"/>
          <w:sz w:val="20"/>
          <w:szCs w:val="20"/>
        </w:rPr>
        <w:t>根据法律法规规定</w:t>
      </w:r>
      <w:r>
        <w:rPr>
          <w:rFonts w:hint="eastAsia" w:ascii="方正黑体_GBK" w:hAnsi="方正黑体_GBK" w:eastAsia="方正黑体_GBK" w:cs="Times New Roman"/>
          <w:b/>
          <w:bCs/>
          <w:vanish w:val="0"/>
          <w:color w:val="auto"/>
          <w:kern w:val="0"/>
          <w:sz w:val="20"/>
          <w:szCs w:val="20"/>
        </w:rPr>
        <w:t>、监管或</w:t>
      </w:r>
      <w:r>
        <w:rPr>
          <w:rFonts w:hint="eastAsia" w:ascii="方正黑体_GBK" w:hAnsi="方正黑体_GBK" w:eastAsia="方正黑体_GBK"/>
          <w:b/>
          <w:bCs/>
          <w:vanish w:val="0"/>
          <w:color w:val="auto"/>
          <w:kern w:val="0"/>
          <w:sz w:val="20"/>
          <w:szCs w:val="20"/>
        </w:rPr>
        <w:t>有权机关要求</w:t>
      </w:r>
      <w:r>
        <w:rPr>
          <w:rFonts w:hint="eastAsia" w:ascii="方正黑体_GBK" w:hAnsi="方正黑体_GBK" w:eastAsia="方正黑体_GBK" w:cs="Times New Roman"/>
          <w:b/>
          <w:bCs/>
          <w:vanish w:val="0"/>
          <w:color w:val="auto"/>
          <w:kern w:val="0"/>
          <w:sz w:val="20"/>
          <w:szCs w:val="20"/>
        </w:rPr>
        <w:t>、理财业务需要等采集、处理及使用</w:t>
      </w:r>
      <w:r>
        <w:rPr>
          <w:rFonts w:hint="eastAsia" w:ascii="方正黑体_GBK" w:hAnsi="方正黑体_GBK" w:eastAsia="方正黑体_GBK"/>
          <w:b/>
          <w:bCs/>
          <w:vanish w:val="0"/>
          <w:color w:val="auto"/>
          <w:kern w:val="0"/>
          <w:sz w:val="20"/>
          <w:szCs w:val="20"/>
        </w:rPr>
        <w:t>投资者身份、持有理财产品、理财产品交易等信息</w:t>
      </w:r>
      <w:r>
        <w:rPr>
          <w:rFonts w:hint="eastAsia" w:ascii="方正黑体_GBK" w:hAnsi="方正黑体_GBK" w:eastAsia="方正黑体_GBK" w:cs="Times New Roman"/>
          <w:b/>
          <w:bCs/>
          <w:vanish w:val="0"/>
          <w:color w:val="auto"/>
          <w:kern w:val="0"/>
          <w:sz w:val="20"/>
          <w:szCs w:val="20"/>
        </w:rPr>
        <w:t>，</w:t>
      </w:r>
      <w:r>
        <w:rPr>
          <w:rFonts w:hint="eastAsia" w:ascii="方正黑体_GBK" w:hAnsi="方正黑体_GBK" w:eastAsia="方正黑体_GBK"/>
          <w:b/>
          <w:bCs/>
          <w:vanish w:val="0"/>
          <w:color w:val="auto"/>
          <w:kern w:val="0"/>
          <w:sz w:val="20"/>
          <w:szCs w:val="20"/>
        </w:rPr>
        <w:t>以及</w:t>
      </w:r>
      <w:r>
        <w:rPr>
          <w:rFonts w:hint="eastAsia" w:ascii="方正黑体_GBK" w:hAnsi="方正黑体_GBK" w:eastAsia="方正黑体_GBK"/>
          <w:b/>
          <w:bCs/>
          <w:vanish w:val="0"/>
          <w:color w:val="auto"/>
          <w:spacing w:val="0"/>
          <w:kern w:val="0"/>
          <w:sz w:val="20"/>
          <w:szCs w:val="20"/>
        </w:rPr>
        <w:t>在办理与理财产品相关事项</w:t>
      </w:r>
      <w:r>
        <w:rPr>
          <w:rFonts w:hint="eastAsia" w:ascii="方正黑体_GBK" w:hAnsi="方正黑体_GBK" w:eastAsia="方正黑体_GBK" w:cs="Times New Roman"/>
          <w:b/>
          <w:bCs/>
          <w:vanish w:val="0"/>
          <w:color w:val="auto"/>
          <w:spacing w:val="0"/>
          <w:kern w:val="0"/>
          <w:sz w:val="20"/>
          <w:szCs w:val="20"/>
        </w:rPr>
        <w:t>需要</w:t>
      </w:r>
      <w:r>
        <w:rPr>
          <w:rFonts w:hint="eastAsia" w:ascii="方正黑体_GBK" w:hAnsi="方正黑体_GBK" w:eastAsia="方正黑体_GBK"/>
          <w:b/>
          <w:bCs/>
          <w:vanish w:val="0"/>
          <w:color w:val="auto"/>
          <w:spacing w:val="0"/>
          <w:kern w:val="0"/>
          <w:sz w:val="20"/>
          <w:szCs w:val="20"/>
        </w:rPr>
        <w:t>的情况下向服务机构及其他管理人或销售机构认为必要的业务合作机构提供投资者</w:t>
      </w:r>
      <w:r>
        <w:rPr>
          <w:rFonts w:hint="eastAsia" w:ascii="方正黑体_GBK" w:hAnsi="方正黑体_GBK" w:eastAsia="方正黑体_GBK" w:cs="Times New Roman"/>
          <w:b/>
          <w:bCs/>
          <w:vanish w:val="0"/>
          <w:color w:val="auto"/>
          <w:spacing w:val="0"/>
          <w:kern w:val="0"/>
          <w:sz w:val="20"/>
          <w:szCs w:val="20"/>
        </w:rPr>
        <w:t>相关</w:t>
      </w:r>
      <w:r>
        <w:rPr>
          <w:rFonts w:hint="eastAsia" w:ascii="方正黑体_GBK" w:hAnsi="方正黑体_GBK" w:eastAsia="方正黑体_GBK"/>
          <w:b/>
          <w:bCs/>
          <w:vanish w:val="0"/>
          <w:color w:val="auto"/>
          <w:spacing w:val="0"/>
          <w:kern w:val="0"/>
          <w:sz w:val="20"/>
          <w:szCs w:val="20"/>
        </w:rPr>
        <w:t>信息</w:t>
      </w:r>
      <w:r>
        <w:rPr>
          <w:rFonts w:hint="eastAsia" w:ascii="方正黑体_GBK" w:hAnsi="方正黑体_GBK" w:eastAsia="方正黑体_GBK" w:cs="Times New Roman"/>
          <w:b/>
          <w:bCs/>
          <w:vanish w:val="0"/>
          <w:color w:val="auto"/>
          <w:spacing w:val="0"/>
          <w:kern w:val="0"/>
          <w:sz w:val="20"/>
          <w:szCs w:val="20"/>
        </w:rPr>
        <w:t>。</w:t>
      </w:r>
      <w:r>
        <w:rPr>
          <w:rFonts w:hint="eastAsia" w:ascii="方正黑体_GBK" w:hAnsi="方正黑体_GBK" w:eastAsia="方正黑体_GBK"/>
          <w:b/>
          <w:bCs/>
          <w:vanish w:val="0"/>
          <w:color w:val="auto"/>
          <w:kern w:val="0"/>
          <w:sz w:val="20"/>
          <w:szCs w:val="20"/>
        </w:rPr>
        <w:t>管理人及销售机构保证信息采集、处理及使用的安全性和合法性</w:t>
      </w:r>
      <w:r>
        <w:rPr>
          <w:rFonts w:hint="eastAsia" w:ascii="方正黑体_GBK" w:hAnsi="方正黑体_GBK" w:eastAsia="方正黑体_GBK"/>
          <w:b/>
          <w:bCs/>
          <w:vanish w:val="0"/>
          <w:color w:val="auto"/>
          <w:spacing w:val="0"/>
          <w:kern w:val="0"/>
          <w:sz w:val="20"/>
          <w:szCs w:val="20"/>
        </w:rPr>
        <w:t>。</w:t>
      </w:r>
    </w:p>
    <w:p w14:paraId="17166F32">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ind w:firstLine="400" w:firstLineChars="200"/>
        <w:rPr>
          <w:rFonts w:ascii="方正黑体_GBK" w:hAnsi="方正黑体_GBK" w:eastAsia="方正黑体_GBK"/>
          <w:b/>
          <w:bCs/>
          <w:vanish w:val="0"/>
          <w:color w:val="auto"/>
          <w:kern w:val="0"/>
          <w:sz w:val="20"/>
          <w:szCs w:val="20"/>
        </w:rPr>
      </w:pPr>
      <w:r>
        <w:rPr>
          <w:rFonts w:hint="eastAsia" w:ascii="方正黑体_GBK" w:hAnsi="方正黑体_GBK" w:eastAsia="方正黑体_GBK"/>
          <w:b/>
          <w:bCs/>
          <w:vanish w:val="0"/>
          <w:color w:val="auto"/>
          <w:kern w:val="0"/>
          <w:sz w:val="20"/>
          <w:szCs w:val="20"/>
        </w:rPr>
        <w:t>本理财产品说明书在法律许可的范围内由管理人负责解释。若投资者对本理财说明书的内容有任何疑问或异议，</w:t>
      </w:r>
      <w:r>
        <w:rPr>
          <w:rFonts w:hint="eastAsia" w:ascii="方正黑体_GBK" w:hAnsi="方正黑体_GBK" w:eastAsia="方正黑体_GBK" w:cs="Times New Roman"/>
          <w:b/>
          <w:bCs/>
          <w:vanish w:val="0"/>
          <w:color w:val="auto"/>
          <w:kern w:val="0"/>
          <w:sz w:val="20"/>
          <w:szCs w:val="20"/>
        </w:rPr>
        <w:t>可与管理人或销售机构联系，管理人或销售机构将及时接听、记录投资者的意见或建议，并与投资者协商共同解决</w:t>
      </w:r>
      <w:r>
        <w:rPr>
          <w:rFonts w:hint="eastAsia" w:ascii="方正黑体_GBK" w:hAnsi="方正黑体_GBK" w:eastAsia="方正黑体_GBK"/>
          <w:b/>
          <w:bCs/>
          <w:vanish w:val="0"/>
          <w:color w:val="auto"/>
          <w:kern w:val="0"/>
          <w:sz w:val="20"/>
          <w:szCs w:val="20"/>
        </w:rPr>
        <w:t>。</w:t>
      </w:r>
    </w:p>
    <w:p w14:paraId="22941F38">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rPr>
          <w:rFonts w:ascii="方正黑体_GBK" w:hAnsi="方正黑体_GBK" w:eastAsia="方正黑体_GBK"/>
          <w:b/>
          <w:bCs/>
          <w:vanish w:val="0"/>
          <w:color w:val="3D3D3D"/>
          <w:kern w:val="0"/>
          <w:sz w:val="20"/>
          <w:szCs w:val="20"/>
        </w:rPr>
      </w:pPr>
    </w:p>
    <w:p w14:paraId="662F590F">
      <w:pPr>
        <w:pStyle w:val="29"/>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240" w:lineRule="auto"/>
        <w:rPr>
          <w:rFonts w:ascii="方正黑体_GBK" w:hAnsi="方正黑体_GBK" w:eastAsia="方正黑体_GBK"/>
          <w:b/>
          <w:bCs/>
          <w:vanish w:val="0"/>
          <w:color w:val="3D3D3D"/>
          <w:kern w:val="0"/>
          <w:sz w:val="20"/>
          <w:szCs w:val="20"/>
        </w:rPr>
      </w:pPr>
      <w:r>
        <w:rPr>
          <w:rFonts w:hint="eastAsia" w:ascii="方正黑体_GBK" w:hAnsi="方正黑体_GBK" w:eastAsia="方正黑体_GBK"/>
          <w:b/>
          <w:bCs/>
          <w:vanish w:val="0"/>
          <w:color w:val="3D3D3D"/>
          <w:kern w:val="0"/>
          <w:sz w:val="20"/>
          <w:szCs w:val="20"/>
        </w:rPr>
        <w:t>风险提示：</w:t>
      </w:r>
    </w:p>
    <w:p w14:paraId="72E17009">
      <w:pPr>
        <w:pStyle w:val="29"/>
        <w:tabs>
          <w:tab w:val="left" w:pos="8033"/>
        </w:tabs>
        <w:spacing w:line="240" w:lineRule="auto"/>
        <w:ind w:left="0" w:firstLine="0"/>
        <w:jc w:val="left"/>
        <w:rPr>
          <w:rFonts w:hint="eastAsia" w:ascii="方正黑体_GBK" w:hAnsi="方正黑体_GBK" w:eastAsia="方正黑体_GBK"/>
          <w:sz w:val="24"/>
          <w:szCs w:val="24"/>
          <w:lang w:val="en-US" w:eastAsia="zh-CN"/>
        </w:rPr>
      </w:pPr>
      <w:r>
        <w:rPr>
          <w:rFonts w:hint="eastAsia" w:ascii="方正黑体_GBK" w:hAnsi="方正黑体_GBK" w:eastAsia="方正黑体_GBK"/>
          <w:b/>
          <w:bCs/>
          <w:color w:val="3D3D3D"/>
          <w:kern w:val="0"/>
          <w:sz w:val="20"/>
          <w:szCs w:val="20"/>
        </w:rPr>
        <w:t>本理财产品是</w:t>
      </w:r>
      <w:r>
        <w:rPr>
          <w:rFonts w:hint="eastAsia" w:ascii="方正黑体_GBK" w:hAnsi="方正黑体_GBK" w:eastAsia="方正黑体_GBK" w:cs="宋体"/>
          <w:b/>
          <w:bCs/>
          <w:i/>
          <w:iCs/>
          <w:caps w:val="0"/>
          <w:smallCaps w:val="0"/>
          <w:snapToGrid/>
          <w:vanish w:val="0"/>
          <w:color w:val="auto"/>
          <w:kern w:val="0"/>
          <w:sz w:val="24"/>
          <w:szCs w:val="22"/>
          <w:u w:val="single"/>
          <w:vertAlign w:val="baseline"/>
          <w:lang w:val="en-US" w:eastAsia="zh-CN"/>
        </w:rPr>
        <w:t>封闭式、固定收益类、公募、净值型</w:t>
      </w:r>
      <w:r>
        <w:rPr>
          <w:rFonts w:hint="eastAsia" w:ascii="方正黑体_GBK" w:hAnsi="方正黑体_GBK" w:eastAsia="方正黑体_GBK"/>
          <w:b/>
          <w:bCs/>
          <w:color w:val="3D3D3D"/>
          <w:kern w:val="0"/>
          <w:sz w:val="20"/>
          <w:szCs w:val="20"/>
        </w:rPr>
        <w:t>理财产品，</w:t>
      </w:r>
      <w:r>
        <w:rPr>
          <w:rFonts w:hint="eastAsia" w:ascii="方正黑体_GBK" w:hAnsi="方正黑体_GBK" w:eastAsia="方正黑体_GBK"/>
          <w:b/>
          <w:bCs/>
          <w:i/>
          <w:iCs/>
          <w:color w:val="3D3D3D"/>
          <w:kern w:val="0"/>
          <w:sz w:val="28"/>
          <w:szCs w:val="28"/>
          <w:u w:val="single"/>
        </w:rPr>
        <w:t>不保证本金和收益</w:t>
      </w:r>
      <w:r>
        <w:rPr>
          <w:rFonts w:hint="eastAsia" w:ascii="方正黑体_GBK" w:hAnsi="方正黑体_GBK" w:eastAsia="方正黑体_GBK"/>
          <w:b/>
          <w:bCs/>
          <w:color w:val="3D3D3D"/>
          <w:kern w:val="0"/>
          <w:sz w:val="20"/>
          <w:szCs w:val="20"/>
        </w:rPr>
        <w:t>，您的本金与收益可能会蒙受重大损失，您应仔细阅读</w:t>
      </w:r>
      <w:r>
        <w:rPr>
          <w:rFonts w:hint="eastAsia" w:ascii="方正黑体_GBK" w:hAnsi="方正黑体_GBK" w:eastAsia="方正黑体_GBK" w:cs="Times New Roman"/>
          <w:b/>
          <w:bCs/>
          <w:color w:val="3D3D3D"/>
          <w:kern w:val="0"/>
          <w:sz w:val="20"/>
          <w:szCs w:val="20"/>
        </w:rPr>
        <w:t>《理财产品风险揭示书》《理财产品说明书》《投资者权益须知》《理财产品销售协议书》《理财产品投资协议书》</w:t>
      </w:r>
      <w:r>
        <w:rPr>
          <w:rFonts w:hint="eastAsia" w:ascii="方正黑体_GBK" w:hAnsi="方正黑体_GBK" w:eastAsia="方正黑体_GBK"/>
          <w:b/>
          <w:bCs/>
          <w:color w:val="3D3D3D"/>
          <w:kern w:val="0"/>
          <w:sz w:val="20"/>
          <w:szCs w:val="20"/>
        </w:rPr>
        <w:t>，充分认识投资风险，谨慎投资。</w:t>
      </w:r>
    </w:p>
    <w:sectPr>
      <w:headerReference r:id="rId5" w:type="default"/>
      <w:footerReference r:id="rId6" w:type="default"/>
      <w:pgSz w:w="11907" w:h="16839"/>
      <w:pgMar w:top="1440" w:right="1800" w:bottom="1440" w:left="1800" w:header="851" w:footer="992" w:gutter="0"/>
      <w:pgNumType w:fmt="decimal"/>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方正黑体_GBK">
    <w:altName w:val="汉仪中黑KW"/>
    <w:panose1 w:val="00000000000000000000"/>
    <w:charset w:val="00"/>
    <w:family w:val="auto"/>
    <w:pitch w:val="default"/>
    <w:sig w:usb0="00000000" w:usb1="00000000" w:usb2="00000000" w:usb3="00000000" w:csb0="00000000" w:csb1="00000000"/>
  </w:font>
  <w:font w:name="Dialog">
    <w:altName w:val="Times New Roman"/>
    <w:panose1 w:val="00000000000000000000"/>
    <w:charset w:val="00"/>
    <w:family w:val="auto"/>
    <w:pitch w:val="default"/>
    <w:sig w:usb0="00000000" w:usb1="00000000" w:usb2="00000000" w:usb3="00000000" w:csb0="00000000" w:csb1="00000000"/>
  </w:font>
  <w:font w:name="汉仪书宋二KW">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Kingsoft Sign">
    <w:panose1 w:val="05050102010706020507"/>
    <w:charset w:val="00"/>
    <w:family w:val="auto"/>
    <w:pitch w:val="default"/>
    <w:sig w:usb0="00000000" w:usb1="1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6B2D0C">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4BAD8BF5">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4BAD8BF5">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4877C3">
    <w:pPr>
      <w:pStyle w:val="8"/>
      <w:jc w:val="right"/>
    </w:pPr>
    <w:r>
      <w:t>南银理财理财产品销售文件（2021第2版）</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E35B55C"/>
    <w:multiLevelType w:val="multilevel"/>
    <w:tmpl w:val="FE35B55C"/>
    <w:lvl w:ilvl="0" w:tentative="0">
      <w:start w:val="1"/>
      <w:numFmt w:val="decimal"/>
      <w:lvlText w:val="（%1）"/>
      <w:legacy w:legacy="1" w:legacySpace="0" w:legacyIndent="420"/>
      <w:lvlJc w:val="left"/>
      <w:pPr>
        <w:ind w:left="709" w:hanging="420"/>
      </w:pPr>
      <w:rPr>
        <w:rFonts w:hint="default" w:ascii="方正黑体_GBK" w:hAnsi="方正黑体_GBK" w:eastAsia="方正黑体_GBK" w:cs="Times New Roman"/>
      </w:rPr>
    </w:lvl>
    <w:lvl w:ilvl="1" w:tentative="0">
      <w:start w:val="1"/>
      <w:numFmt w:val="lowerLetter"/>
      <w:lvlText w:val="%2)"/>
      <w:legacy w:legacy="1" w:legacySpace="0" w:legacyIndent="420"/>
      <w:lvlJc w:val="left"/>
      <w:pPr>
        <w:ind w:left="1129" w:hanging="420"/>
      </w:pPr>
    </w:lvl>
    <w:lvl w:ilvl="2" w:tentative="0">
      <w:start w:val="1"/>
      <w:numFmt w:val="lowerRoman"/>
      <w:lvlText w:val="%3."/>
      <w:legacy w:legacy="1" w:legacySpace="0" w:legacyIndent="420"/>
      <w:lvlJc w:val="right"/>
      <w:pPr>
        <w:ind w:left="1549" w:hanging="420"/>
      </w:pPr>
    </w:lvl>
    <w:lvl w:ilvl="3" w:tentative="0">
      <w:start w:val="1"/>
      <w:numFmt w:val="decimal"/>
      <w:lvlText w:val="%4."/>
      <w:legacy w:legacy="1" w:legacySpace="0" w:legacyIndent="420"/>
      <w:lvlJc w:val="left"/>
      <w:pPr>
        <w:ind w:left="1969" w:hanging="420"/>
      </w:pPr>
    </w:lvl>
    <w:lvl w:ilvl="4" w:tentative="0">
      <w:start w:val="1"/>
      <w:numFmt w:val="lowerLetter"/>
      <w:lvlText w:val="%5)"/>
      <w:legacy w:legacy="1" w:legacySpace="0" w:legacyIndent="420"/>
      <w:lvlJc w:val="left"/>
      <w:pPr>
        <w:ind w:left="2389" w:hanging="420"/>
      </w:pPr>
    </w:lvl>
    <w:lvl w:ilvl="5" w:tentative="0">
      <w:start w:val="1"/>
      <w:numFmt w:val="lowerRoman"/>
      <w:lvlText w:val="%6."/>
      <w:legacy w:legacy="1" w:legacySpace="0" w:legacyIndent="420"/>
      <w:lvlJc w:val="right"/>
      <w:pPr>
        <w:ind w:left="2809" w:hanging="420"/>
      </w:pPr>
    </w:lvl>
    <w:lvl w:ilvl="6" w:tentative="0">
      <w:start w:val="1"/>
      <w:numFmt w:val="decimal"/>
      <w:lvlText w:val="%7."/>
      <w:legacy w:legacy="1" w:legacySpace="0" w:legacyIndent="420"/>
      <w:lvlJc w:val="left"/>
      <w:pPr>
        <w:ind w:left="3229" w:hanging="420"/>
      </w:pPr>
    </w:lvl>
    <w:lvl w:ilvl="7" w:tentative="0">
      <w:start w:val="1"/>
      <w:numFmt w:val="lowerLetter"/>
      <w:lvlText w:val="%8)"/>
      <w:legacy w:legacy="1" w:legacySpace="0" w:legacyIndent="420"/>
      <w:lvlJc w:val="left"/>
      <w:pPr>
        <w:ind w:left="3649" w:hanging="420"/>
      </w:pPr>
    </w:lvl>
    <w:lvl w:ilvl="8" w:tentative="0">
      <w:start w:val="1"/>
      <w:numFmt w:val="lowerRoman"/>
      <w:lvlText w:val="%9."/>
      <w:legacy w:legacy="1" w:legacySpace="0" w:legacyIndent="420"/>
      <w:lvlJc w:val="right"/>
      <w:pPr>
        <w:ind w:left="4069" w:hanging="420"/>
      </w:pPr>
    </w:lvl>
  </w:abstractNum>
  <w:abstractNum w:abstractNumId="1">
    <w:nsid w:val="34FD92D3"/>
    <w:multiLevelType w:val="multilevel"/>
    <w:tmpl w:val="34FD92D3"/>
    <w:lvl w:ilvl="0" w:tentative="0">
      <w:start w:val="1"/>
      <w:numFmt w:val="chineseCountingThousand"/>
      <w:lvlText w:val="（%1）"/>
      <w:legacy w:legacy="1" w:legacySpace="0" w:legacyIndent="420"/>
      <w:lvlJc w:val="left"/>
      <w:pPr>
        <w:ind w:left="704" w:hanging="420"/>
      </w:pPr>
      <w:rPr>
        <w:rFonts w:hint="eastAsia" w:ascii="方正黑体_GBK" w:hAnsi="方正黑体_GBK" w:eastAsia="方正黑体_GBK"/>
        <w:b w:val="0"/>
        <w:bCs w:val="0"/>
      </w:rPr>
    </w:lvl>
    <w:lvl w:ilvl="1" w:tentative="0">
      <w:start w:val="1"/>
      <w:numFmt w:val="lowerLetter"/>
      <w:lvlText w:val="%2)"/>
      <w:legacy w:legacy="1" w:legacySpace="0" w:legacyIndent="420"/>
      <w:lvlJc w:val="left"/>
      <w:pPr>
        <w:ind w:left="1124" w:hanging="420"/>
      </w:pPr>
      <w:rPr>
        <w:rFonts w:hint="default" w:ascii="方正黑体_GBK" w:hAnsi="方正黑体_GBK" w:eastAsia="方正黑体_GBK"/>
      </w:rPr>
    </w:lvl>
    <w:lvl w:ilvl="2" w:tentative="0">
      <w:start w:val="1"/>
      <w:numFmt w:val="decimal"/>
      <w:lvlText w:val="%3."/>
      <w:legacy w:legacy="1" w:legacySpace="0" w:legacyIndent="420"/>
      <w:lvlJc w:val="right"/>
      <w:pPr>
        <w:ind w:left="1544" w:hanging="420"/>
      </w:pPr>
      <w:rPr>
        <w:rFonts w:hint="default" w:ascii="方正黑体_GBK" w:hAnsi="方正黑体_GBK" w:eastAsia="方正黑体_GBK"/>
      </w:rPr>
    </w:lvl>
    <w:lvl w:ilvl="3" w:tentative="0">
      <w:start w:val="1"/>
      <w:numFmt w:val="decimal"/>
      <w:lvlText w:val="%4."/>
      <w:legacy w:legacy="1" w:legacySpace="0" w:legacyIndent="420"/>
      <w:lvlJc w:val="left"/>
      <w:pPr>
        <w:ind w:left="1964" w:hanging="420"/>
      </w:pPr>
      <w:rPr>
        <w:rFonts w:hint="default" w:ascii="方正黑体_GBK" w:hAnsi="方正黑体_GBK" w:eastAsia="方正黑体_GBK"/>
      </w:rPr>
    </w:lvl>
    <w:lvl w:ilvl="4" w:tentative="0">
      <w:start w:val="1"/>
      <w:numFmt w:val="lowerLetter"/>
      <w:lvlText w:val="%5)"/>
      <w:legacy w:legacy="1" w:legacySpace="0" w:legacyIndent="420"/>
      <w:lvlJc w:val="left"/>
      <w:pPr>
        <w:ind w:left="2384" w:hanging="420"/>
      </w:pPr>
      <w:rPr>
        <w:rFonts w:hint="default" w:ascii="方正黑体_GBK" w:hAnsi="方正黑体_GBK" w:eastAsia="方正黑体_GBK"/>
      </w:rPr>
    </w:lvl>
    <w:lvl w:ilvl="5" w:tentative="0">
      <w:start w:val="1"/>
      <w:numFmt w:val="decimal"/>
      <w:lvlText w:val="%6."/>
      <w:legacy w:legacy="1" w:legacySpace="0" w:legacyIndent="420"/>
      <w:lvlJc w:val="right"/>
      <w:pPr>
        <w:ind w:left="2804" w:hanging="420"/>
      </w:pPr>
      <w:rPr>
        <w:rFonts w:hint="default" w:ascii="方正黑体_GBK" w:hAnsi="方正黑体_GBK" w:eastAsia="方正黑体_GBK"/>
      </w:rPr>
    </w:lvl>
    <w:lvl w:ilvl="6" w:tentative="0">
      <w:start w:val="1"/>
      <w:numFmt w:val="decimal"/>
      <w:lvlText w:val="%7."/>
      <w:legacy w:legacy="1" w:legacySpace="0" w:legacyIndent="420"/>
      <w:lvlJc w:val="left"/>
      <w:pPr>
        <w:ind w:left="3224" w:hanging="420"/>
      </w:pPr>
      <w:rPr>
        <w:rFonts w:hint="default" w:ascii="方正黑体_GBK" w:hAnsi="方正黑体_GBK" w:eastAsia="方正黑体_GBK"/>
      </w:rPr>
    </w:lvl>
    <w:lvl w:ilvl="7" w:tentative="0">
      <w:start w:val="1"/>
      <w:numFmt w:val="lowerLetter"/>
      <w:lvlText w:val="%8)"/>
      <w:legacy w:legacy="1" w:legacySpace="0" w:legacyIndent="420"/>
      <w:lvlJc w:val="left"/>
      <w:pPr>
        <w:ind w:left="3644" w:hanging="420"/>
      </w:pPr>
      <w:rPr>
        <w:rFonts w:hint="default" w:ascii="方正黑体_GBK" w:hAnsi="方正黑体_GBK" w:eastAsia="方正黑体_GBK"/>
      </w:rPr>
    </w:lvl>
    <w:lvl w:ilvl="8" w:tentative="0">
      <w:start w:val="1"/>
      <w:numFmt w:val="decimal"/>
      <w:lvlText w:val="%9."/>
      <w:legacy w:legacy="1" w:legacySpace="0" w:legacyIndent="420"/>
      <w:lvlJc w:val="right"/>
      <w:pPr>
        <w:ind w:left="4064" w:hanging="420"/>
      </w:pPr>
      <w:rPr>
        <w:rFonts w:hint="default" w:ascii="方正黑体_GBK" w:hAnsi="方正黑体_GBK" w:eastAsia="方正黑体_GBK"/>
      </w:rPr>
    </w:lvl>
  </w:abstractNum>
  <w:abstractNum w:abstractNumId="2">
    <w:nsid w:val="7738C105"/>
    <w:multiLevelType w:val="multilevel"/>
    <w:tmpl w:val="7738C105"/>
    <w:lvl w:ilvl="0" w:tentative="0">
      <w:start w:val="1"/>
      <w:numFmt w:val="japaneseCounting"/>
      <w:lvlText w:val="（%1）"/>
      <w:lvlJc w:val="left"/>
      <w:pPr>
        <w:tabs>
          <w:tab w:val="left" w:pos="0"/>
        </w:tabs>
        <w:ind w:left="1021" w:hanging="720"/>
      </w:pPr>
      <w:rPr>
        <w:rFonts w:hint="default" w:ascii="方正黑体_GBK" w:hAnsi="方正黑体_GBK" w:eastAsia="方正黑体_GBK"/>
      </w:rPr>
    </w:lvl>
    <w:lvl w:ilvl="1" w:tentative="0">
      <w:start w:val="1"/>
      <w:numFmt w:val="lowerLetter"/>
      <w:lvlText w:val="%2)"/>
      <w:lvlJc w:val="left"/>
      <w:pPr>
        <w:tabs>
          <w:tab w:val="left" w:pos="0"/>
        </w:tabs>
        <w:ind w:left="1141" w:hanging="420"/>
      </w:pPr>
      <w:rPr>
        <w:rFonts w:hint="default" w:ascii="方正黑体_GBK" w:hAnsi="方正黑体_GBK" w:eastAsia="方正黑体_GBK"/>
      </w:rPr>
    </w:lvl>
    <w:lvl w:ilvl="2" w:tentative="0">
      <w:start w:val="1"/>
      <w:numFmt w:val="decimal"/>
      <w:lvlText w:val="%3."/>
      <w:lvlJc w:val="right"/>
      <w:pPr>
        <w:tabs>
          <w:tab w:val="left" w:pos="0"/>
        </w:tabs>
        <w:ind w:left="1561" w:hanging="420"/>
      </w:pPr>
      <w:rPr>
        <w:rFonts w:hint="default" w:ascii="方正黑体_GBK" w:hAnsi="方正黑体_GBK" w:eastAsia="方正黑体_GBK"/>
      </w:rPr>
    </w:lvl>
    <w:lvl w:ilvl="3" w:tentative="0">
      <w:start w:val="1"/>
      <w:numFmt w:val="decimal"/>
      <w:lvlText w:val="%4."/>
      <w:lvlJc w:val="left"/>
      <w:pPr>
        <w:tabs>
          <w:tab w:val="left" w:pos="0"/>
        </w:tabs>
        <w:ind w:left="1981" w:hanging="420"/>
      </w:pPr>
      <w:rPr>
        <w:rFonts w:hint="default" w:ascii="方正黑体_GBK" w:hAnsi="方正黑体_GBK" w:eastAsia="方正黑体_GBK"/>
      </w:rPr>
    </w:lvl>
    <w:lvl w:ilvl="4" w:tentative="0">
      <w:start w:val="1"/>
      <w:numFmt w:val="lowerLetter"/>
      <w:lvlText w:val="%5)"/>
      <w:lvlJc w:val="left"/>
      <w:pPr>
        <w:tabs>
          <w:tab w:val="left" w:pos="0"/>
        </w:tabs>
        <w:ind w:left="2401" w:hanging="420"/>
      </w:pPr>
      <w:rPr>
        <w:rFonts w:hint="default" w:ascii="方正黑体_GBK" w:hAnsi="方正黑体_GBK" w:eastAsia="方正黑体_GBK"/>
      </w:rPr>
    </w:lvl>
    <w:lvl w:ilvl="5" w:tentative="0">
      <w:start w:val="1"/>
      <w:numFmt w:val="decimal"/>
      <w:lvlText w:val="%6."/>
      <w:lvlJc w:val="right"/>
      <w:pPr>
        <w:tabs>
          <w:tab w:val="left" w:pos="0"/>
        </w:tabs>
        <w:ind w:left="2821" w:hanging="420"/>
      </w:pPr>
      <w:rPr>
        <w:rFonts w:hint="default" w:ascii="方正黑体_GBK" w:hAnsi="方正黑体_GBK" w:eastAsia="方正黑体_GBK"/>
      </w:rPr>
    </w:lvl>
    <w:lvl w:ilvl="6" w:tentative="0">
      <w:start w:val="1"/>
      <w:numFmt w:val="decimal"/>
      <w:lvlText w:val="%7."/>
      <w:lvlJc w:val="left"/>
      <w:pPr>
        <w:tabs>
          <w:tab w:val="left" w:pos="0"/>
        </w:tabs>
        <w:ind w:left="3241" w:hanging="420"/>
      </w:pPr>
      <w:rPr>
        <w:rFonts w:hint="default" w:ascii="方正黑体_GBK" w:hAnsi="方正黑体_GBK" w:eastAsia="方正黑体_GBK"/>
      </w:rPr>
    </w:lvl>
    <w:lvl w:ilvl="7" w:tentative="0">
      <w:start w:val="1"/>
      <w:numFmt w:val="lowerLetter"/>
      <w:lvlText w:val="%8)"/>
      <w:lvlJc w:val="left"/>
      <w:pPr>
        <w:tabs>
          <w:tab w:val="left" w:pos="0"/>
        </w:tabs>
        <w:ind w:left="3661" w:hanging="420"/>
      </w:pPr>
      <w:rPr>
        <w:rFonts w:hint="default" w:ascii="方正黑体_GBK" w:hAnsi="方正黑体_GBK" w:eastAsia="方正黑体_GBK"/>
      </w:rPr>
    </w:lvl>
    <w:lvl w:ilvl="8" w:tentative="0">
      <w:start w:val="1"/>
      <w:numFmt w:val="decimal"/>
      <w:lvlText w:val="%9."/>
      <w:lvlJc w:val="right"/>
      <w:pPr>
        <w:tabs>
          <w:tab w:val="left" w:pos="0"/>
        </w:tabs>
        <w:ind w:left="4081" w:hanging="420"/>
      </w:pPr>
      <w:rPr>
        <w:rFonts w:hint="default" w:ascii="方正黑体_GBK" w:hAnsi="方正黑体_GBK" w:eastAsia="方正黑体_GBK"/>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dit="readOnly" w:enforcement="0"/>
  <w:defaultTabStop w:val="420"/>
  <w:drawingGridHorizontalSpacing w:val="1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ulTrailSpace/>
    <w:doNotExpandShiftReturn/>
    <w:adjustLineHeightInTable/>
    <w:useFELayout/>
    <w:compatSetting w:name="compatibilityMode" w:uri="http://schemas.microsoft.com/office/word" w:val="14"/>
  </w:compat>
  <w:rsids>
    <w:rsidRoot w:val="00000000"/>
    <w:rsid w:val="7EBF02F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方正黑体_GBK" w:hAnsi="方正黑体_GBK" w:eastAsia="方正黑体_GBK" w:cs="Times New Roman"/>
      <w:snapToGrid/>
      <w:color w:val="auto"/>
      <w:spacing w:val="0"/>
      <w:w w:val="100"/>
      <w:kern w:val="2"/>
      <w:position w:val="0"/>
      <w:sz w:val="21"/>
      <w:szCs w:val="21"/>
      <w:u w:val="none" w:color="auto"/>
      <w:shd w:val="clear" w:color="auto" w:fill="auto"/>
      <w:vertAlign w:val="baseline"/>
      <w:lang w:val="en-US" w:eastAsia="zh-CN" w:bidi="ar-SA"/>
    </w:rPr>
  </w:style>
  <w:style w:type="paragraph" w:styleId="2">
    <w:name w:val="heading 1"/>
    <w:basedOn w:val="1"/>
    <w:next w:val="1"/>
    <w:uiPriority w:val="0"/>
    <w:pPr>
      <w:keepNext/>
      <w:keepLines/>
      <w:pageBreakBefore w:val="0"/>
      <w:widowControl w:val="0"/>
      <w:suppressLineNumbers w:val="0"/>
      <w:suppressAutoHyphens w:val="0"/>
      <w:spacing w:before="340" w:after="330" w:line="578" w:lineRule="auto"/>
      <w:outlineLvl w:val="0"/>
    </w:pPr>
    <w:rPr>
      <w:b/>
      <w:bCs/>
      <w:kern w:val="44"/>
      <w:sz w:val="44"/>
    </w:rPr>
  </w:style>
  <w:style w:type="paragraph" w:styleId="3">
    <w:name w:val="heading 2"/>
    <w:basedOn w:val="1"/>
    <w:next w:val="1"/>
    <w:uiPriority w:val="0"/>
    <w:pPr>
      <w:keepNext/>
      <w:keepLines/>
      <w:pageBreakBefore w:val="0"/>
      <w:widowControl w:val="0"/>
      <w:suppressLineNumbers w:val="0"/>
      <w:suppressAutoHyphens w:val="0"/>
      <w:spacing w:before="260" w:after="260" w:line="415" w:lineRule="auto"/>
      <w:outlineLvl w:val="1"/>
    </w:pPr>
    <w:rPr>
      <w:rFonts w:ascii="方正黑体_GBK" w:hAnsi="方正黑体_GBK" w:eastAsia="方正黑体_GBK"/>
      <w:b/>
      <w:sz w:val="32"/>
    </w:rPr>
  </w:style>
  <w:style w:type="paragraph" w:styleId="4">
    <w:name w:val="heading 3"/>
    <w:basedOn w:val="1"/>
    <w:next w:val="1"/>
    <w:uiPriority w:val="0"/>
    <w:pPr>
      <w:keepNext/>
      <w:keepLines/>
      <w:pageBreakBefore w:val="0"/>
      <w:widowControl w:val="0"/>
      <w:suppressLineNumbers w:val="0"/>
      <w:suppressAutoHyphens w:val="0"/>
      <w:spacing w:before="260" w:after="260" w:line="415" w:lineRule="auto"/>
      <w:outlineLvl w:val="2"/>
    </w:pPr>
    <w:rPr>
      <w:b/>
      <w:sz w:val="32"/>
    </w:rPr>
  </w:style>
  <w:style w:type="character" w:default="1" w:styleId="13">
    <w:name w:val="Default Paragraph Font"/>
    <w:uiPriority w:val="0"/>
  </w:style>
  <w:style w:type="table" w:default="1" w:styleId="12">
    <w:name w:val="Normal Table"/>
    <w:semiHidden/>
    <w:uiPriority w:val="0"/>
    <w:tblPr>
      <w:tblCellMar>
        <w:top w:w="0" w:type="dxa"/>
        <w:left w:w="108" w:type="dxa"/>
        <w:bottom w:w="0" w:type="dxa"/>
        <w:right w:w="108" w:type="dxa"/>
      </w:tblCellMar>
    </w:tblPr>
  </w:style>
  <w:style w:type="paragraph" w:styleId="5">
    <w:name w:val="toc 5"/>
    <w:basedOn w:val="1"/>
    <w:next w:val="1"/>
    <w:autoRedefine/>
    <w:uiPriority w:val="0"/>
    <w:pPr>
      <w:ind w:left="1680"/>
    </w:pPr>
  </w:style>
  <w:style w:type="paragraph" w:styleId="6">
    <w:name w:val="toc 3"/>
    <w:basedOn w:val="1"/>
    <w:next w:val="1"/>
    <w:autoRedefine/>
    <w:uiPriority w:val="0"/>
    <w:pPr>
      <w:ind w:left="840"/>
    </w:pPr>
  </w:style>
  <w:style w:type="paragraph" w:styleId="7">
    <w:name w:val="footer"/>
    <w:basedOn w:val="1"/>
    <w:uiPriority w:val="0"/>
    <w:pPr>
      <w:tabs>
        <w:tab w:val="center" w:pos="4153"/>
        <w:tab w:val="right" w:pos="8307"/>
      </w:tabs>
      <w:adjustRightInd/>
      <w:snapToGrid w:val="0"/>
      <w:contextualSpacing w:val="0"/>
      <w:jc w:val="left"/>
    </w:pPr>
    <w:rPr>
      <w:sz w:val="18"/>
    </w:rPr>
  </w:style>
  <w:style w:type="paragraph" w:styleId="8">
    <w:name w:val="header"/>
    <w:basedOn w:val="1"/>
    <w:uiPriority w:val="0"/>
    <w:pPr>
      <w:pBdr>
        <w:bottom w:val="single" w:color="auto" w:sz="6" w:space="1"/>
      </w:pBdr>
      <w:tabs>
        <w:tab w:val="center" w:pos="4153"/>
        <w:tab w:val="right" w:pos="8307"/>
      </w:tabs>
      <w:adjustRightInd/>
      <w:snapToGrid w:val="0"/>
      <w:contextualSpacing w:val="0"/>
      <w:jc w:val="center"/>
    </w:pPr>
    <w:rPr>
      <w:sz w:val="18"/>
    </w:rPr>
  </w:style>
  <w:style w:type="paragraph" w:styleId="9">
    <w:name w:val="toc 1"/>
    <w:basedOn w:val="1"/>
    <w:next w:val="1"/>
    <w:autoRedefine/>
    <w:uiPriority w:val="0"/>
  </w:style>
  <w:style w:type="paragraph" w:styleId="10">
    <w:name w:val="toc 4"/>
    <w:basedOn w:val="1"/>
    <w:next w:val="1"/>
    <w:autoRedefine/>
    <w:uiPriority w:val="0"/>
    <w:pPr>
      <w:ind w:left="1260"/>
    </w:pPr>
  </w:style>
  <w:style w:type="paragraph" w:styleId="11">
    <w:name w:val="toc 2"/>
    <w:basedOn w:val="1"/>
    <w:next w:val="1"/>
    <w:autoRedefine/>
    <w:uiPriority w:val="0"/>
    <w:pPr>
      <w:ind w:left="420"/>
    </w:pPr>
  </w:style>
  <w:style w:type="character" w:styleId="14">
    <w:name w:val="Strong"/>
    <w:uiPriority w:val="0"/>
    <w:rPr>
      <w:b/>
    </w:rPr>
  </w:style>
  <w:style w:type="paragraph" w:customStyle="1" w:styleId="15">
    <w:name w:val="Normalb0393c73"/>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方正黑体_GBK" w:hAnsi="方正黑体_GBK" w:eastAsia="方正黑体_GBK" w:cs="Times New Roman"/>
      <w:snapToGrid/>
      <w:color w:val="auto"/>
      <w:spacing w:val="0"/>
      <w:w w:val="100"/>
      <w:kern w:val="2"/>
      <w:position w:val="0"/>
      <w:sz w:val="21"/>
      <w:szCs w:val="21"/>
      <w:u w:val="none" w:color="auto"/>
      <w:shd w:val="clear" w:color="auto" w:fill="auto"/>
      <w:vertAlign w:val="baseline"/>
      <w:lang w:val="en-US" w:eastAsia="zh-CN" w:bidi="ar-SA"/>
    </w:rPr>
  </w:style>
  <w:style w:type="paragraph" w:customStyle="1" w:styleId="16">
    <w:name w:val="heading 137c3200d"/>
    <w:basedOn w:val="15"/>
    <w:next w:val="1"/>
    <w:uiPriority w:val="0"/>
    <w:pPr>
      <w:keepNext/>
      <w:keepLines/>
      <w:pageBreakBefore w:val="0"/>
      <w:widowControl w:val="0"/>
      <w:suppressLineNumbers w:val="0"/>
      <w:suppressAutoHyphens w:val="0"/>
      <w:spacing w:before="340" w:after="330" w:line="578" w:lineRule="auto"/>
      <w:outlineLvl w:val="0"/>
    </w:pPr>
    <w:rPr>
      <w:b/>
      <w:bCs/>
      <w:kern w:val="44"/>
      <w:sz w:val="44"/>
    </w:rPr>
  </w:style>
  <w:style w:type="paragraph" w:customStyle="1" w:styleId="17">
    <w:name w:val="heading 25a08fa62"/>
    <w:basedOn w:val="15"/>
    <w:next w:val="1"/>
    <w:uiPriority w:val="0"/>
    <w:pPr>
      <w:keepNext/>
      <w:keepLines/>
      <w:pageBreakBefore w:val="0"/>
      <w:widowControl w:val="0"/>
      <w:suppressLineNumbers w:val="0"/>
      <w:suppressAutoHyphens w:val="0"/>
      <w:spacing w:before="260" w:after="260" w:line="415" w:lineRule="auto"/>
      <w:outlineLvl w:val="1"/>
    </w:pPr>
    <w:rPr>
      <w:rFonts w:ascii="方正黑体_GBK" w:hAnsi="方正黑体_GBK" w:eastAsia="方正黑体_GBK"/>
      <w:b/>
      <w:sz w:val="32"/>
    </w:rPr>
  </w:style>
  <w:style w:type="paragraph" w:customStyle="1" w:styleId="18">
    <w:name w:val="heading 322a526fc"/>
    <w:basedOn w:val="15"/>
    <w:next w:val="1"/>
    <w:uiPriority w:val="0"/>
    <w:pPr>
      <w:keepNext/>
      <w:keepLines/>
      <w:pageBreakBefore w:val="0"/>
      <w:widowControl w:val="0"/>
      <w:suppressLineNumbers w:val="0"/>
      <w:suppressAutoHyphens w:val="0"/>
      <w:spacing w:before="260" w:after="260" w:line="415" w:lineRule="auto"/>
      <w:outlineLvl w:val="2"/>
    </w:pPr>
    <w:rPr>
      <w:b/>
      <w:sz w:val="32"/>
    </w:rPr>
  </w:style>
  <w:style w:type="character" w:customStyle="1" w:styleId="19">
    <w:name w:val="Default Paragraph Fontc0362e8b"/>
    <w:uiPriority w:val="0"/>
  </w:style>
  <w:style w:type="paragraph" w:customStyle="1" w:styleId="20">
    <w:name w:val="toc 17b12c3a8"/>
    <w:basedOn w:val="15"/>
    <w:next w:val="1"/>
    <w:autoRedefine/>
    <w:uiPriority w:val="0"/>
  </w:style>
  <w:style w:type="paragraph" w:customStyle="1" w:styleId="21">
    <w:name w:val="toc 289bb600f"/>
    <w:basedOn w:val="15"/>
    <w:next w:val="1"/>
    <w:autoRedefine/>
    <w:uiPriority w:val="0"/>
    <w:pPr>
      <w:ind w:left="420"/>
    </w:pPr>
  </w:style>
  <w:style w:type="paragraph" w:customStyle="1" w:styleId="22">
    <w:name w:val="toc 3ae6a0472"/>
    <w:basedOn w:val="15"/>
    <w:next w:val="1"/>
    <w:autoRedefine/>
    <w:uiPriority w:val="0"/>
    <w:pPr>
      <w:ind w:left="840"/>
    </w:pPr>
  </w:style>
  <w:style w:type="paragraph" w:customStyle="1" w:styleId="23">
    <w:name w:val="toc 4cc14c57c"/>
    <w:basedOn w:val="15"/>
    <w:next w:val="1"/>
    <w:autoRedefine/>
    <w:uiPriority w:val="0"/>
    <w:pPr>
      <w:ind w:left="1260"/>
    </w:pPr>
  </w:style>
  <w:style w:type="paragraph" w:customStyle="1" w:styleId="24">
    <w:name w:val="toc 5f7d162f1"/>
    <w:basedOn w:val="15"/>
    <w:next w:val="1"/>
    <w:autoRedefine/>
    <w:uiPriority w:val="0"/>
    <w:pPr>
      <w:ind w:left="1680"/>
    </w:pPr>
  </w:style>
  <w:style w:type="paragraph" w:customStyle="1" w:styleId="25">
    <w:name w:val="header5535cb68"/>
    <w:basedOn w:val="15"/>
    <w:uiPriority w:val="0"/>
    <w:pPr>
      <w:pBdr>
        <w:bottom w:val="single" w:color="auto" w:sz="6" w:space="1"/>
      </w:pBdr>
      <w:tabs>
        <w:tab w:val="center" w:pos="4153"/>
        <w:tab w:val="right" w:pos="8307"/>
      </w:tabs>
      <w:adjustRightInd/>
      <w:snapToGrid w:val="0"/>
      <w:contextualSpacing w:val="0"/>
      <w:jc w:val="center"/>
    </w:pPr>
    <w:rPr>
      <w:sz w:val="18"/>
    </w:rPr>
  </w:style>
  <w:style w:type="paragraph" w:customStyle="1" w:styleId="26">
    <w:name w:val="footer1d74150f"/>
    <w:basedOn w:val="15"/>
    <w:uiPriority w:val="0"/>
    <w:pPr>
      <w:tabs>
        <w:tab w:val="center" w:pos="4153"/>
        <w:tab w:val="right" w:pos="8307"/>
      </w:tabs>
      <w:adjustRightInd/>
      <w:snapToGrid w:val="0"/>
      <w:contextualSpacing w:val="0"/>
      <w:jc w:val="left"/>
    </w:pPr>
    <w:rPr>
      <w:sz w:val="18"/>
    </w:rPr>
  </w:style>
  <w:style w:type="character" w:customStyle="1" w:styleId="27">
    <w:name w:val="Strong512289ea"/>
    <w:uiPriority w:val="0"/>
    <w:rPr>
      <w:b/>
    </w:rPr>
  </w:style>
  <w:style w:type="paragraph" w:customStyle="1" w:styleId="28">
    <w:name w:val="annotation text23"/>
    <w:next w:val="9"/>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pPr>
    <w:rPr>
      <w:rFonts w:ascii="方正黑体_GBK" w:hAnsi="方正黑体_GBK" w:eastAsia="方正黑体_GBK" w:cs="Times New Roman"/>
      <w:snapToGrid/>
      <w:color w:val="auto"/>
      <w:spacing w:val="0"/>
      <w:w w:val="100"/>
      <w:kern w:val="2"/>
      <w:position w:val="0"/>
      <w:sz w:val="21"/>
      <w:szCs w:val="21"/>
      <w:u w:val="none" w:color="auto"/>
      <w:shd w:val="clear" w:color="auto" w:fill="auto"/>
      <w:vertAlign w:val="baseline"/>
      <w:lang w:val="en-US" w:eastAsia="zh-CN" w:bidi="ar-SA"/>
    </w:rPr>
  </w:style>
  <w:style w:type="paragraph" w:customStyle="1" w:styleId="29">
    <w:name w:val="Normal0cb3a47c"/>
    <w:next w:val="9"/>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方正黑体_GBK" w:hAnsi="方正黑体_GBK" w:eastAsia="方正黑体_GBK" w:cs="Times New Roman"/>
      <w:snapToGrid/>
      <w:color w:val="auto"/>
      <w:spacing w:val="0"/>
      <w:w w:val="100"/>
      <w:kern w:val="2"/>
      <w:position w:val="0"/>
      <w:sz w:val="18"/>
      <w:szCs w:val="18"/>
      <w:u w:val="none" w:color="auto"/>
      <w:shd w:val="clear" w:color="auto" w:fill="auto"/>
      <w:vertAlign w:val="baseline"/>
      <w:lang w:val="en-US" w:eastAsia="zh-CN" w:bidi="ar-SA"/>
    </w:rPr>
  </w:style>
  <w:style w:type="paragraph" w:customStyle="1" w:styleId="30">
    <w:name w:val="heading 16cc6baa3"/>
    <w:basedOn w:val="29"/>
    <w:next w:val="1"/>
    <w:uiPriority w:val="0"/>
    <w:pPr>
      <w:keepNext/>
      <w:keepLines/>
      <w:pageBreakBefore w:val="0"/>
      <w:widowControl w:val="0"/>
      <w:suppressLineNumbers w:val="0"/>
      <w:suppressAutoHyphens w:val="0"/>
      <w:spacing w:before="340" w:after="330" w:line="578" w:lineRule="auto"/>
      <w:outlineLvl w:val="0"/>
    </w:pPr>
    <w:rPr>
      <w:b/>
      <w:bCs/>
      <w:kern w:val="44"/>
      <w:sz w:val="44"/>
    </w:rPr>
  </w:style>
  <w:style w:type="paragraph" w:customStyle="1" w:styleId="31">
    <w:name w:val="heading 2cb28649f"/>
    <w:basedOn w:val="29"/>
    <w:next w:val="1"/>
    <w:uiPriority w:val="0"/>
    <w:pPr>
      <w:keepNext/>
      <w:keepLines/>
      <w:pageBreakBefore w:val="0"/>
      <w:widowControl w:val="0"/>
      <w:suppressLineNumbers w:val="0"/>
      <w:suppressAutoHyphens w:val="0"/>
      <w:spacing w:before="260" w:after="260" w:line="415" w:lineRule="auto"/>
      <w:outlineLvl w:val="1"/>
    </w:pPr>
    <w:rPr>
      <w:rFonts w:ascii="方正黑体_GBK" w:hAnsi="方正黑体_GBK" w:eastAsia="方正黑体_GBK"/>
      <w:b/>
      <w:sz w:val="32"/>
    </w:rPr>
  </w:style>
  <w:style w:type="paragraph" w:customStyle="1" w:styleId="32">
    <w:name w:val="heading 330650be1"/>
    <w:basedOn w:val="29"/>
    <w:next w:val="1"/>
    <w:uiPriority w:val="0"/>
    <w:pPr>
      <w:keepNext/>
      <w:keepLines/>
      <w:pageBreakBefore w:val="0"/>
      <w:widowControl w:val="0"/>
      <w:suppressLineNumbers w:val="0"/>
      <w:suppressAutoHyphens w:val="0"/>
      <w:spacing w:before="260" w:after="260" w:line="415" w:lineRule="auto"/>
      <w:outlineLvl w:val="2"/>
    </w:pPr>
    <w:rPr>
      <w:b/>
      <w:sz w:val="32"/>
    </w:rPr>
  </w:style>
  <w:style w:type="character" w:customStyle="1" w:styleId="33">
    <w:name w:val="Default Paragraph Fontd39429d4"/>
    <w:uiPriority w:val="0"/>
  </w:style>
  <w:style w:type="paragraph" w:customStyle="1" w:styleId="34">
    <w:name w:val="Normal Indent2484f828"/>
    <w:basedOn w:val="29"/>
    <w:uiPriority w:val="0"/>
    <w:pPr>
      <w:ind w:firstLine="200" w:firstLineChars="200"/>
    </w:pPr>
  </w:style>
  <w:style w:type="paragraph" w:customStyle="1" w:styleId="35">
    <w:name w:val="toc 564470a11"/>
    <w:basedOn w:val="29"/>
    <w:next w:val="1"/>
    <w:uiPriority w:val="0"/>
    <w:pPr>
      <w:ind w:left="1680"/>
    </w:pPr>
  </w:style>
  <w:style w:type="paragraph" w:customStyle="1" w:styleId="36">
    <w:name w:val="toc 3d2d77cc8"/>
    <w:basedOn w:val="29"/>
    <w:next w:val="1"/>
    <w:uiPriority w:val="0"/>
    <w:pPr>
      <w:ind w:left="840"/>
    </w:pPr>
  </w:style>
  <w:style w:type="paragraph" w:customStyle="1" w:styleId="37">
    <w:name w:val="footerd225f87d"/>
    <w:basedOn w:val="29"/>
    <w:uiPriority w:val="0"/>
    <w:pPr>
      <w:tabs>
        <w:tab w:val="center" w:pos="4153"/>
        <w:tab w:val="right" w:pos="8307"/>
      </w:tabs>
      <w:adjustRightInd/>
      <w:snapToGrid w:val="0"/>
      <w:contextualSpacing w:val="0"/>
      <w:jc w:val="left"/>
    </w:pPr>
    <w:rPr>
      <w:sz w:val="18"/>
    </w:rPr>
  </w:style>
  <w:style w:type="paragraph" w:customStyle="1" w:styleId="38">
    <w:name w:val="header94e84d9b"/>
    <w:basedOn w:val="29"/>
    <w:uiPriority w:val="0"/>
    <w:pPr>
      <w:pBdr>
        <w:bottom w:val="single" w:color="auto" w:sz="6" w:space="1"/>
      </w:pBdr>
      <w:tabs>
        <w:tab w:val="center" w:pos="4153"/>
        <w:tab w:val="right" w:pos="8307"/>
      </w:tabs>
      <w:adjustRightInd/>
      <w:snapToGrid w:val="0"/>
      <w:contextualSpacing w:val="0"/>
      <w:jc w:val="center"/>
    </w:pPr>
    <w:rPr>
      <w:sz w:val="18"/>
    </w:rPr>
  </w:style>
  <w:style w:type="paragraph" w:customStyle="1" w:styleId="39">
    <w:name w:val="toc 11a4d7ccf"/>
    <w:basedOn w:val="29"/>
    <w:next w:val="1"/>
    <w:uiPriority w:val="0"/>
  </w:style>
  <w:style w:type="paragraph" w:customStyle="1" w:styleId="40">
    <w:name w:val="toc 41431ecd8"/>
    <w:basedOn w:val="29"/>
    <w:next w:val="1"/>
    <w:uiPriority w:val="0"/>
    <w:pPr>
      <w:ind w:left="1260"/>
    </w:pPr>
  </w:style>
  <w:style w:type="paragraph" w:customStyle="1" w:styleId="41">
    <w:name w:val="toc 2172eb95b"/>
    <w:basedOn w:val="29"/>
    <w:next w:val="1"/>
    <w:uiPriority w:val="0"/>
    <w:pPr>
      <w:ind w:left="420"/>
    </w:pPr>
  </w:style>
  <w:style w:type="paragraph" w:customStyle="1" w:styleId="42">
    <w:name w:val="Normal (Web)ea8c9ce8"/>
    <w:next w:val="8"/>
    <w:uiPriority w:val="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102" w:beforeAutospacing="0" w:after="102" w:afterAutospacing="0" w:line="1099" w:lineRule="atLeast"/>
      <w:ind w:left="0" w:right="0" w:firstLine="419"/>
      <w:contextualSpacing w:val="0"/>
      <w:jc w:val="left"/>
      <w:textAlignment w:val="baseline"/>
      <w:outlineLvl w:val="9"/>
    </w:pPr>
    <w:rPr>
      <w:rFonts w:ascii="方正黑体_GBK" w:hAnsi="方正黑体_GBK" w:eastAsia="方正黑体_GBK" w:cs="Times New Roman"/>
      <w:snapToGrid/>
      <w:color w:val="auto"/>
      <w:spacing w:val="0"/>
      <w:w w:val="100"/>
      <w:kern w:val="0"/>
      <w:position w:val="0"/>
      <w:sz w:val="24"/>
      <w:szCs w:val="24"/>
      <w:u w:val="none" w:color="auto"/>
      <w:shd w:val="clear" w:color="auto" w:fill="auto"/>
      <w:vertAlign w:val="baseline"/>
      <w:lang w:val="en-US" w:eastAsia="zh-CN" w:bidi="ar-SA"/>
    </w:rPr>
  </w:style>
  <w:style w:type="paragraph" w:customStyle="1" w:styleId="43">
    <w:name w:val="引文目录124"/>
    <w:next w:val="1"/>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100" w:beforeAutospacing="1" w:after="100" w:afterAutospacing="1" w:line="240" w:lineRule="auto"/>
      <w:ind w:left="200" w:leftChars="200" w:right="0" w:firstLine="0"/>
      <w:contextualSpacing w:val="0"/>
      <w:jc w:val="both"/>
      <w:textAlignment w:val="baseline"/>
      <w:outlineLvl w:val="9"/>
    </w:pPr>
    <w:rPr>
      <w:rFonts w:ascii="方正黑体_GBK" w:hAnsi="方正黑体_GBK" w:eastAsia="方正黑体_GBK" w:cs="Times New Roman"/>
      <w:snapToGrid/>
      <w:color w:val="auto"/>
      <w:spacing w:val="0"/>
      <w:w w:val="100"/>
      <w:kern w:val="2"/>
      <w:position w:val="0"/>
      <w:sz w:val="21"/>
      <w:szCs w:val="21"/>
      <w:u w:val="none" w:color="auto"/>
      <w:shd w:val="clear" w:color="auto" w:fill="auto"/>
      <w:vertAlign w:val="baseline"/>
      <w:lang w:val="en-US" w:eastAsia="zh-CN" w:bidi="ar-SA"/>
    </w:rPr>
  </w:style>
  <w:style w:type="paragraph" w:customStyle="1" w:styleId="44">
    <w:name w:val="Normal42a10fd342a10fd3"/>
    <w:next w:val="9"/>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方正黑体_GBK" w:hAnsi="方正黑体_GBK" w:eastAsia="方正黑体_GBK" w:cs="Times New Roman"/>
      <w:snapToGrid/>
      <w:color w:val="auto"/>
      <w:spacing w:val="0"/>
      <w:w w:val="100"/>
      <w:kern w:val="2"/>
      <w:position w:val="0"/>
      <w:sz w:val="21"/>
      <w:szCs w:val="21"/>
      <w:u w:val="none" w:color="auto"/>
      <w:shd w:val="clear" w:color="auto" w:fill="auto"/>
      <w:vertAlign w:val="baseline"/>
      <w:lang w:val="en-US" w:eastAsia="zh-CN" w:bidi="ar-SA"/>
    </w:rPr>
  </w:style>
  <w:style w:type="paragraph" w:customStyle="1" w:styleId="45">
    <w:name w:val="heading 14ae29c384ae29c38"/>
    <w:basedOn w:val="44"/>
    <w:next w:val="1"/>
    <w:uiPriority w:val="0"/>
    <w:pPr>
      <w:keepNext/>
      <w:keepLines/>
      <w:pageBreakBefore w:val="0"/>
      <w:widowControl w:val="0"/>
      <w:suppressLineNumbers w:val="0"/>
      <w:suppressAutoHyphens w:val="0"/>
      <w:spacing w:before="340" w:after="330" w:line="578" w:lineRule="auto"/>
      <w:outlineLvl w:val="0"/>
    </w:pPr>
    <w:rPr>
      <w:b/>
      <w:bCs/>
      <w:kern w:val="44"/>
      <w:sz w:val="44"/>
    </w:rPr>
  </w:style>
  <w:style w:type="paragraph" w:customStyle="1" w:styleId="46">
    <w:name w:val="heading 21f4d8c1b1f4d8c1b"/>
    <w:basedOn w:val="44"/>
    <w:next w:val="1"/>
    <w:uiPriority w:val="0"/>
    <w:pPr>
      <w:keepNext/>
      <w:keepLines/>
      <w:pageBreakBefore w:val="0"/>
      <w:widowControl w:val="0"/>
      <w:suppressLineNumbers w:val="0"/>
      <w:suppressAutoHyphens w:val="0"/>
      <w:spacing w:before="260" w:after="260" w:line="415" w:lineRule="auto"/>
      <w:outlineLvl w:val="1"/>
    </w:pPr>
    <w:rPr>
      <w:rFonts w:ascii="方正黑体_GBK" w:hAnsi="方正黑体_GBK" w:eastAsia="方正黑体_GBK"/>
      <w:b/>
      <w:sz w:val="32"/>
    </w:rPr>
  </w:style>
  <w:style w:type="paragraph" w:customStyle="1" w:styleId="47">
    <w:name w:val="heading 32e5f1de02e5f1de0"/>
    <w:basedOn w:val="44"/>
    <w:next w:val="1"/>
    <w:uiPriority w:val="0"/>
    <w:pPr>
      <w:keepNext/>
      <w:keepLines/>
      <w:pageBreakBefore w:val="0"/>
      <w:widowControl w:val="0"/>
      <w:suppressLineNumbers w:val="0"/>
      <w:suppressAutoHyphens w:val="0"/>
      <w:spacing w:before="260" w:after="260" w:line="415" w:lineRule="auto"/>
      <w:outlineLvl w:val="2"/>
    </w:pPr>
    <w:rPr>
      <w:b/>
      <w:sz w:val="32"/>
    </w:rPr>
  </w:style>
  <w:style w:type="character" w:customStyle="1" w:styleId="48">
    <w:name w:val="Default Paragraph Font97776e7a97776e7a"/>
    <w:uiPriority w:val="0"/>
  </w:style>
  <w:style w:type="paragraph" w:customStyle="1" w:styleId="49">
    <w:name w:val="引文目录10e519fca0e519fca"/>
    <w:basedOn w:val="44"/>
    <w:next w:val="1"/>
    <w:uiPriority w:val="0"/>
    <w:pPr>
      <w:ind w:left="200" w:leftChars="200"/>
    </w:pPr>
  </w:style>
  <w:style w:type="paragraph" w:customStyle="1" w:styleId="50">
    <w:name w:val="toc 5e74768e9e74768e9"/>
    <w:basedOn w:val="44"/>
    <w:next w:val="1"/>
    <w:uiPriority w:val="0"/>
    <w:pPr>
      <w:ind w:left="1680"/>
    </w:pPr>
  </w:style>
  <w:style w:type="paragraph" w:customStyle="1" w:styleId="51">
    <w:name w:val="toc 3a89726c0a89726c0"/>
    <w:basedOn w:val="44"/>
    <w:next w:val="1"/>
    <w:uiPriority w:val="0"/>
    <w:pPr>
      <w:ind w:left="840"/>
    </w:pPr>
  </w:style>
  <w:style w:type="paragraph" w:customStyle="1" w:styleId="52">
    <w:name w:val="footerad5c646ead5c646e"/>
    <w:basedOn w:val="44"/>
    <w:uiPriority w:val="0"/>
    <w:pPr>
      <w:tabs>
        <w:tab w:val="center" w:pos="4153"/>
        <w:tab w:val="right" w:pos="8307"/>
      </w:tabs>
      <w:adjustRightInd/>
      <w:snapToGrid w:val="0"/>
      <w:contextualSpacing w:val="0"/>
      <w:jc w:val="left"/>
    </w:pPr>
    <w:rPr>
      <w:sz w:val="18"/>
    </w:rPr>
  </w:style>
  <w:style w:type="paragraph" w:customStyle="1" w:styleId="53">
    <w:name w:val="header07489a1a07489a1a"/>
    <w:basedOn w:val="44"/>
    <w:uiPriority w:val="0"/>
    <w:pPr>
      <w:pBdr>
        <w:bottom w:val="single" w:color="auto" w:sz="6" w:space="1"/>
      </w:pBdr>
      <w:tabs>
        <w:tab w:val="center" w:pos="4153"/>
        <w:tab w:val="right" w:pos="8307"/>
      </w:tabs>
      <w:adjustRightInd/>
      <w:snapToGrid w:val="0"/>
      <w:contextualSpacing w:val="0"/>
      <w:jc w:val="center"/>
    </w:pPr>
    <w:rPr>
      <w:sz w:val="18"/>
    </w:rPr>
  </w:style>
  <w:style w:type="paragraph" w:customStyle="1" w:styleId="54">
    <w:name w:val="toc 188df52fe88df52fe"/>
    <w:basedOn w:val="44"/>
    <w:next w:val="1"/>
    <w:uiPriority w:val="0"/>
  </w:style>
  <w:style w:type="paragraph" w:customStyle="1" w:styleId="55">
    <w:name w:val="toc 4bf4d9e5abf4d9e5a"/>
    <w:basedOn w:val="44"/>
    <w:next w:val="1"/>
    <w:uiPriority w:val="0"/>
    <w:pPr>
      <w:ind w:left="1260"/>
    </w:pPr>
  </w:style>
  <w:style w:type="paragraph" w:customStyle="1" w:styleId="56">
    <w:name w:val="toc 26d24d10d6d24d10d"/>
    <w:basedOn w:val="44"/>
    <w:next w:val="1"/>
    <w:uiPriority w:val="0"/>
    <w:pPr>
      <w:ind w:left="420"/>
    </w:pPr>
  </w:style>
  <w:style w:type="paragraph" w:customStyle="1" w:styleId="57">
    <w:name w:val="列出段落14dc0c6914dc0c691"/>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200" w:firstLineChars="200"/>
      <w:contextualSpacing w:val="0"/>
      <w:jc w:val="both"/>
      <w:textAlignment w:val="auto"/>
      <w:outlineLvl w:val="9"/>
    </w:pPr>
    <w:rPr>
      <w:rFonts w:ascii="方正黑体_GBK" w:hAnsi="方正黑体_GBK" w:eastAsia="方正黑体_GBK" w:cs="Times New Roman"/>
      <w:snapToGrid/>
      <w:color w:val="auto"/>
      <w:spacing w:val="0"/>
      <w:w w:val="100"/>
      <w:kern w:val="2"/>
      <w:position w:val="0"/>
      <w:sz w:val="21"/>
      <w:szCs w:val="21"/>
      <w:u w:val="none" w:color="auto"/>
      <w:shd w:val="clear" w:color="auto" w:fill="auto"/>
      <w:vertAlign w:val="baseline"/>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31</Pages>
  <Words>4074</Words>
  <Characters>4086</Characters>
  <Lines>77</Lines>
  <Paragraphs>27</Paragraphs>
  <TotalTime>9</TotalTime>
  <ScaleCrop>false</ScaleCrop>
  <LinksUpToDate>false</LinksUpToDate>
  <CharactersWithSpaces>4087</CharactersWithSpaces>
  <Application>WPS Office_12.1.26046.26046_F1E327BC-269C-435d-A152-05C5408002CA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2022-08-09T15:38:00Z</dcterms:created>
  <dc:creator>HP</dc:creator>
  <cp:lastModifiedBy>丁亮</cp:lastModifiedBy>
  <dcterms:modified xsi:type="dcterms:W3CDTF">2026-08-09T20:33:40Z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2052-12.1.26046.26046</vt:lpwstr>
  </property>
  <property fmtid="{D5CDD505-2E9C-101B-9397-08002B2CF9AE}" pid="3" name="ICV">
    <vt:lpwstr>02AEF6DED8204361AEB85E71A6BDE641</vt:lpwstr>
  </property>
</Properties>
</file>