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F6C3">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495CDA97">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04AE0D7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688B2B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6B889C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8B606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7F3FFF4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7F5C1E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457715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4D1526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4CFEBF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15697E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671101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1C7BEA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D0CE3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11BAEE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36197A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26469F7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54237F1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32D4DD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3D9D330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668344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60568D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5B209CC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454C6AA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2A620D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532B794E">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048F660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4A5EA989">
      <w:pPr>
        <w:spacing w:line="240" w:lineRule="auto"/>
        <w:rPr>
          <w:sz w:val="28"/>
          <w:szCs w:val="28"/>
        </w:rPr>
      </w:pPr>
      <w:r>
        <w:rPr>
          <w:rFonts w:ascii="方正黑体_GBK" w:hAnsi="方正黑体_GBK" w:eastAsia="方正黑体_GBK" w:cs="宋体"/>
          <w:b/>
          <w:sz w:val="18"/>
          <w:szCs w:val="24"/>
        </w:rPr>
        <w:t xml:space="preserve">    1.债券类资产投资风险</w:t>
      </w:r>
    </w:p>
    <w:p w14:paraId="0B4A8681">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05853B10">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212E2976">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5E39D097">
      <w:pPr>
        <w:spacing w:line="240" w:lineRule="auto"/>
        <w:rPr>
          <w:sz w:val="28"/>
          <w:szCs w:val="28"/>
        </w:rPr>
      </w:pPr>
      <w:r>
        <w:rPr>
          <w:rFonts w:ascii="方正黑体_GBK" w:hAnsi="方正黑体_GBK" w:eastAsia="方正黑体_GBK" w:cs="宋体"/>
          <w:b/>
          <w:sz w:val="18"/>
          <w:szCs w:val="24"/>
        </w:rPr>
        <w:t xml:space="preserve">    3.资产管理产品投资风险</w:t>
      </w:r>
    </w:p>
    <w:p w14:paraId="300BABA0">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bookmarkStart w:id="0" w:name="_GoBack"/>
      <w:bookmarkEnd w:id="0"/>
    </w:p>
    <w:p w14:paraId="3304D4BE">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52C00605">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6E46EA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0693A21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99天</w:t>
      </w:r>
      <w:r>
        <w:rPr>
          <w:rFonts w:hint="eastAsia" w:ascii="方正黑体_GBK" w:hAnsi="方正黑体_GBK" w:eastAsia="方正黑体_GBK"/>
          <w:b/>
          <w:bCs w:val="0"/>
          <w:vanish w:val="0"/>
          <w:color w:val="3D3D3D"/>
          <w:kern w:val="0"/>
          <w:sz w:val="18"/>
          <w:szCs w:val="18"/>
        </w:rPr>
        <w:t>。</w:t>
      </w:r>
    </w:p>
    <w:p w14:paraId="495F1B35">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6D220DBF">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56C3AE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4AF6F0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00BC1F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49E722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3C235C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648571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42D80E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28E72934">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44DCE6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5B4925C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567B8D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5B6001BE">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1C443D79">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E2C91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1C234E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7E3FCD41">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7F3625BF">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3D772B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2C3D67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5A2347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6CA8E1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63B465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3B17249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4847D55F">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0F8F9D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664CD6F5">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40F7B2A">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1E6AE8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11D69FB">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4B4FC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1A4B877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9C649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7EC9C4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1FFC9CB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649B667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5F32D5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76C420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623A84E">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15488B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039D6C5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E216F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25B7F30B">
      <w:pPr>
        <w:spacing w:line="240" w:lineRule="auto"/>
        <w:rPr>
          <w:sz w:val="28"/>
          <w:szCs w:val="28"/>
        </w:rPr>
      </w:pPr>
      <w:r>
        <w:rPr>
          <w:rFonts w:ascii="方正黑体_GBK" w:hAnsi="方正黑体_GBK" w:eastAsia="方正黑体_GBK"/>
          <w:sz w:val="28"/>
          <w:szCs w:val="28"/>
        </w:rPr>
        <w:br w:type="page"/>
      </w:r>
    </w:p>
    <w:p w14:paraId="7A0D788B">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2F15C524">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17B2388">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36559C41">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3AF53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EDD2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南银理财珠联璧合鑫逸稳三个月138期封闭式公募人民币理财产品</w:t>
            </w:r>
          </w:p>
        </w:tc>
      </w:tr>
      <w:tr w14:paraId="62AE0E88">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CC3AD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D08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4EA07F07">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239431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77B05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7F443F34">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251B4C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40A4F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ZZ700322600177</w:t>
            </w:r>
          </w:p>
        </w:tc>
      </w:tr>
      <w:tr w14:paraId="44CDEAEB">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51B81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54E775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Z7003226000175(投资者可依据该编码在中国理财网www.chinawealth.com.cn查询理财产品相关信息）</w:t>
            </w:r>
          </w:p>
        </w:tc>
      </w:tr>
      <w:tr w14:paraId="4700717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D6E0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3539F3D9">
            <w:pPr>
              <w:spacing w:line="240" w:lineRule="auto"/>
              <w:rPr>
                <w:sz w:val="28"/>
                <w:szCs w:val="28"/>
              </w:rPr>
            </w:pPr>
            <w:r>
              <w:rPr>
                <w:rFonts w:ascii="方正黑体_GBK" w:hAnsi="方正黑体_GBK" w:eastAsia="方正黑体_GBK" w:cs="宋体"/>
                <w:sz w:val="22"/>
                <w:szCs w:val="22"/>
              </w:rPr>
              <w:t>A份额：NYXY000977</w:t>
            </w:r>
          </w:p>
          <w:p w14:paraId="52DD0162">
            <w:pPr>
              <w:spacing w:line="240" w:lineRule="auto"/>
              <w:rPr>
                <w:sz w:val="28"/>
                <w:szCs w:val="28"/>
              </w:rPr>
            </w:pPr>
            <w:r>
              <w:rPr>
                <w:rFonts w:ascii="方正黑体_GBK" w:hAnsi="方正黑体_GBK" w:eastAsia="方正黑体_GBK" w:cs="宋体"/>
                <w:sz w:val="22"/>
                <w:szCs w:val="22"/>
              </w:rPr>
              <w:t>B份额：NYXY000978</w:t>
            </w:r>
          </w:p>
          <w:p w14:paraId="2152C600">
            <w:pPr>
              <w:spacing w:line="240" w:lineRule="auto"/>
              <w:rPr>
                <w:sz w:val="28"/>
                <w:szCs w:val="28"/>
              </w:rPr>
            </w:pPr>
            <w:r>
              <w:rPr>
                <w:rFonts w:ascii="方正黑体_GBK" w:hAnsi="方正黑体_GBK" w:eastAsia="方正黑体_GBK" w:cs="宋体"/>
                <w:sz w:val="22"/>
                <w:szCs w:val="22"/>
              </w:rPr>
              <w:t>C份额：NYXY000979</w:t>
            </w:r>
          </w:p>
          <w:p w14:paraId="2A2DFC3C">
            <w:pPr>
              <w:spacing w:line="240" w:lineRule="auto"/>
              <w:rPr>
                <w:sz w:val="28"/>
                <w:szCs w:val="28"/>
              </w:rPr>
            </w:pPr>
            <w:r>
              <w:rPr>
                <w:rFonts w:ascii="方正黑体_GBK" w:hAnsi="方正黑体_GBK" w:eastAsia="方正黑体_GBK" w:cs="宋体"/>
                <w:sz w:val="22"/>
                <w:szCs w:val="22"/>
              </w:rPr>
              <w:t>E份额：NYXY000980</w:t>
            </w:r>
          </w:p>
          <w:p w14:paraId="07AD27D2">
            <w:pPr>
              <w:spacing w:line="240" w:lineRule="auto"/>
              <w:rPr>
                <w:sz w:val="28"/>
                <w:szCs w:val="28"/>
              </w:rPr>
            </w:pPr>
            <w:r>
              <w:rPr>
                <w:rFonts w:ascii="方正黑体_GBK" w:hAnsi="方正黑体_GBK" w:eastAsia="方正黑体_GBK" w:cs="宋体"/>
                <w:sz w:val="22"/>
                <w:szCs w:val="22"/>
              </w:rPr>
              <w:t>J份额：NYXY000981</w:t>
            </w:r>
          </w:p>
          <w:p w14:paraId="01A66615">
            <w:pPr>
              <w:spacing w:line="240" w:lineRule="auto"/>
              <w:rPr>
                <w:sz w:val="28"/>
                <w:szCs w:val="28"/>
              </w:rPr>
            </w:pPr>
            <w:r>
              <w:rPr>
                <w:rFonts w:ascii="方正黑体_GBK" w:hAnsi="方正黑体_GBK" w:eastAsia="方正黑体_GBK" w:cs="宋体"/>
                <w:sz w:val="22"/>
                <w:szCs w:val="22"/>
              </w:rPr>
              <w:t>K份额：NYXY000982</w:t>
            </w:r>
          </w:p>
          <w:p w14:paraId="05B78BE8">
            <w:pPr>
              <w:spacing w:line="240" w:lineRule="auto"/>
              <w:rPr>
                <w:sz w:val="28"/>
                <w:szCs w:val="28"/>
              </w:rPr>
            </w:pPr>
            <w:r>
              <w:rPr>
                <w:rFonts w:ascii="方正黑体_GBK" w:hAnsi="方正黑体_GBK" w:eastAsia="方正黑体_GBK" w:cs="宋体"/>
                <w:sz w:val="22"/>
                <w:szCs w:val="22"/>
              </w:rPr>
              <w:t>L份额：NYXY000983</w:t>
            </w:r>
          </w:p>
          <w:p w14:paraId="24C12A9C">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146EF5E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A4D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4D43C8EC">
            <w:pPr>
              <w:spacing w:line="240" w:lineRule="auto"/>
              <w:rPr>
                <w:sz w:val="28"/>
                <w:szCs w:val="28"/>
              </w:rPr>
            </w:pPr>
            <w:r>
              <w:rPr>
                <w:rFonts w:ascii="方正黑体_GBK" w:hAnsi="方正黑体_GBK" w:eastAsia="方正黑体_GBK" w:cs="宋体"/>
                <w:sz w:val="22"/>
                <w:szCs w:val="22"/>
              </w:rPr>
              <w:t>全国</w:t>
            </w:r>
          </w:p>
        </w:tc>
      </w:tr>
      <w:tr w14:paraId="119D981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433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2BD28D1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17C34817">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BCA3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1ADEFB07">
            <w:pPr>
              <w:spacing w:line="240" w:lineRule="auto"/>
              <w:rPr>
                <w:sz w:val="28"/>
                <w:szCs w:val="28"/>
              </w:rPr>
            </w:pPr>
            <w:r>
              <w:rPr>
                <w:rFonts w:ascii="方正黑体_GBK" w:hAnsi="方正黑体_GBK" w:eastAsia="方正黑体_GBK" w:cs="宋体"/>
                <w:sz w:val="22"/>
                <w:szCs w:val="22"/>
              </w:rPr>
              <w:t>本理财产品规模上限为100亿元。</w:t>
            </w:r>
          </w:p>
        </w:tc>
      </w:tr>
      <w:tr w14:paraId="21CFF325">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6B181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0DF0B2C2">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5AE5E0B8">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CCFFC82">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10334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25D5F1B">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4A5ABE83">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1元起购）、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75B17BF0">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河北银行股份有限公司(分行财富客户)、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甘肃银行股份有限公司(除财富客户外的其他客户)、东营银行股份有限公司、桂林银行股份有限公司、永丰银行(中国)有限公司、江苏高淳农村商业银行股份有限公司、江苏新沂农村商业银行股份有限公司（1元起购）、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787A03E5">
            <w:pPr>
              <w:spacing w:line="240" w:lineRule="auto"/>
              <w:rPr>
                <w:sz w:val="28"/>
                <w:szCs w:val="28"/>
              </w:rPr>
            </w:pPr>
            <w:r>
              <w:rPr>
                <w:rFonts w:ascii="方正黑体_GBK" w:hAnsi="方正黑体_GBK" w:eastAsia="方正黑体_GBK" w:cs="宋体"/>
                <w:sz w:val="22"/>
                <w:szCs w:val="22"/>
              </w:rPr>
              <w:t>C份额：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新沂农村商业银行股份有限公司（30万元起购）、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5E97AF6F">
            <w:pPr>
              <w:spacing w:line="240" w:lineRule="auto"/>
              <w:rPr>
                <w:sz w:val="28"/>
                <w:szCs w:val="28"/>
              </w:rPr>
            </w:pPr>
            <w:r>
              <w:rPr>
                <w:rFonts w:ascii="方正黑体_GBK" w:hAnsi="方正黑体_GBK" w:eastAsia="方正黑体_GBK" w:cs="宋体"/>
                <w:sz w:val="22"/>
                <w:szCs w:val="22"/>
              </w:rPr>
              <w:t>E份额：南京银行股份有限公司（对公客户）。</w:t>
            </w:r>
          </w:p>
          <w:p w14:paraId="5B2E140A">
            <w:pPr>
              <w:spacing w:line="240" w:lineRule="auto"/>
              <w:rPr>
                <w:sz w:val="28"/>
                <w:szCs w:val="28"/>
              </w:rPr>
            </w:pPr>
            <w:r>
              <w:rPr>
                <w:rFonts w:ascii="方正黑体_GBK" w:hAnsi="方正黑体_GBK" w:eastAsia="方正黑体_GBK" w:cs="宋体"/>
                <w:sz w:val="22"/>
                <w:szCs w:val="22"/>
              </w:rPr>
              <w:t>J份额：昆山鹿城村镇银行股份有限公司。</w:t>
            </w:r>
          </w:p>
          <w:p w14:paraId="2ACA24F9">
            <w:pPr>
              <w:spacing w:line="240" w:lineRule="auto"/>
              <w:rPr>
                <w:sz w:val="28"/>
                <w:szCs w:val="28"/>
              </w:rPr>
            </w:pPr>
            <w:r>
              <w:rPr>
                <w:rFonts w:ascii="方正黑体_GBK" w:hAnsi="方正黑体_GBK" w:eastAsia="方正黑体_GBK" w:cs="宋体"/>
                <w:sz w:val="22"/>
                <w:szCs w:val="22"/>
              </w:rPr>
              <w:t>K份额：吉林银行股份有限公司。</w:t>
            </w:r>
          </w:p>
          <w:p w14:paraId="0EBE8D30">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43CE5E6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2FAA5F9B">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14B922DB">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556C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4A8A82E3">
            <w:pPr>
              <w:spacing w:line="240" w:lineRule="auto"/>
              <w:rPr>
                <w:sz w:val="28"/>
                <w:szCs w:val="28"/>
              </w:rPr>
            </w:pPr>
            <w:r>
              <w:rPr>
                <w:rFonts w:ascii="方正黑体_GBK" w:hAnsi="方正黑体_GBK" w:eastAsia="方正黑体_GBK" w:cs="宋体"/>
                <w:sz w:val="22"/>
                <w:szCs w:val="22"/>
              </w:rPr>
              <w:t>A份额/B份额/C份额/J份额/K份额/L份额：</w:t>
            </w:r>
          </w:p>
          <w:p w14:paraId="66B91E3B">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009CF4A5">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45EFE801">
            <w:pPr>
              <w:spacing w:line="240" w:lineRule="auto"/>
              <w:rPr>
                <w:sz w:val="28"/>
                <w:szCs w:val="28"/>
              </w:rPr>
            </w:pPr>
            <w:r>
              <w:rPr>
                <w:rFonts w:ascii="方正黑体_GBK" w:hAnsi="方正黑体_GBK" w:eastAsia="方正黑体_GBK" w:cs="宋体"/>
                <w:sz w:val="22"/>
                <w:szCs w:val="22"/>
              </w:rPr>
              <w:t>E份额：</w:t>
            </w:r>
          </w:p>
          <w:p w14:paraId="2F860CD0">
            <w:pPr>
              <w:spacing w:line="240" w:lineRule="auto"/>
              <w:rPr>
                <w:sz w:val="28"/>
                <w:szCs w:val="28"/>
              </w:rPr>
            </w:pPr>
            <w:r>
              <w:rPr>
                <w:rFonts w:ascii="方正黑体_GBK" w:hAnsi="方正黑体_GBK" w:eastAsia="方正黑体_GBK" w:cs="宋体"/>
                <w:sz w:val="22"/>
                <w:szCs w:val="22"/>
              </w:rPr>
              <w:t>机构投资者投资起点金额100万元人民币，以1元的整数倍递增；</w:t>
            </w:r>
          </w:p>
        </w:tc>
      </w:tr>
      <w:tr w14:paraId="617C5ED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0D557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70FBCC9F">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4F6C8902">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4A56962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A6B28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727B6EC9">
            <w:pPr>
              <w:spacing w:line="240" w:lineRule="auto"/>
              <w:rPr>
                <w:sz w:val="28"/>
                <w:szCs w:val="28"/>
              </w:rPr>
            </w:pPr>
            <w:r>
              <w:rPr>
                <w:rFonts w:ascii="方正黑体_GBK" w:hAnsi="方正黑体_GBK" w:eastAsia="方正黑体_GBK" w:cs="宋体"/>
                <w:color w:val="000000"/>
                <w:sz w:val="22"/>
                <w:szCs w:val="22"/>
              </w:rPr>
              <w:t>2026年06月10日 09:00—2026年06月16日 17:00</w:t>
            </w:r>
          </w:p>
        </w:tc>
      </w:tr>
      <w:tr w14:paraId="3B6379C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4131963">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AAFB1B6">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24BA1D0B">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0DABC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22E2E9DD">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446B6CD">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72E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004B1037">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2026年06月17日</w:t>
            </w:r>
          </w:p>
        </w:tc>
      </w:tr>
      <w:tr w14:paraId="5D09725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F126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A293112">
            <w:pPr>
              <w:spacing w:line="240" w:lineRule="auto"/>
              <w:rPr>
                <w:sz w:val="28"/>
                <w:szCs w:val="28"/>
              </w:rPr>
            </w:pPr>
            <w:r>
              <w:rPr>
                <w:rFonts w:ascii="方正黑体_GBK" w:hAnsi="方正黑体_GBK" w:eastAsia="方正黑体_GBK" w:cs="宋体"/>
                <w:sz w:val="22"/>
                <w:szCs w:val="22"/>
              </w:rPr>
              <w:t>2026年06月17日—实际到期日（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1F2A5F90">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1FBF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4629B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2026年09月24日</w:t>
            </w:r>
          </w:p>
        </w:tc>
      </w:tr>
      <w:tr w14:paraId="0B8D12D9">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9E5B7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71F0293">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6FB7618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47A2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031BD21F">
            <w:pPr>
              <w:spacing w:line="240" w:lineRule="auto"/>
              <w:rPr>
                <w:sz w:val="28"/>
                <w:szCs w:val="28"/>
              </w:rPr>
            </w:pPr>
            <w:r>
              <w:rPr>
                <w:rFonts w:ascii="方正黑体_GBK" w:hAnsi="方正黑体_GBK" w:eastAsia="方正黑体_GBK" w:cs="宋体"/>
                <w:sz w:val="22"/>
                <w:szCs w:val="22"/>
              </w:rPr>
              <w:t>本理财产品存续期间不进行分红。</w:t>
            </w:r>
          </w:p>
          <w:p w14:paraId="1861BB7B">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367D1FC7">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5C1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0D1DE106">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4AC5B432">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51362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6AD252AF">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0F1B603C">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20B40DE4">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23C38F4A">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4B9EB578">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19B31598">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4D31F79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F265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6806976C">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7EFCC6E2">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28F73826">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4BC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212EA380">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197B715D">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64A626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2E9C225">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91AACE1">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5315DD28">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529B5F4B">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7B6A7740">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3562CDD7">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16DAFDF2">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7EF9E381">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39578FC7">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3BC069B3">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293D457F">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7E066F7A">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134D4D85">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EA26555">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23C1D3A">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4A10EA6E">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7AFC82D3">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21B3DB97">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201CEFDE">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3F30ED7D">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6AEE7EA6">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5B93FB40">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403B06B8">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372CFA59">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711BA1CB">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63FEE530">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21EE2743">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0AFA6B65">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6D5EEFCB">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496C8F3F">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20FAC227">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72BFB048">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5AA333F4">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19BB4E97">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377CC8E5">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341D7F81">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54D4FC03">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6ACBF84A">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3998B186">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53FF36C0">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56B223EA">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767138C3">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122676D2">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4C5F3714">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054844E4">
            <w:pPr>
              <w:spacing w:line="240" w:lineRule="auto"/>
              <w:rPr>
                <w:sz w:val="28"/>
                <w:szCs w:val="28"/>
              </w:rPr>
            </w:pPr>
            <w:r>
              <w:rPr>
                <w:rFonts w:ascii="方正黑体_GBK" w:hAnsi="方正黑体_GBK" w:eastAsia="方正黑体_GBK" w:cs="宋体"/>
                <w:b/>
                <w:sz w:val="22"/>
                <w:szCs w:val="22"/>
              </w:rPr>
              <w:t>以上资产剩余期限均不超过产品期限。</w:t>
            </w:r>
          </w:p>
          <w:p w14:paraId="36EEEDE7">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F4390A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7ED0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1B697C3F">
            <w:pPr>
              <w:spacing w:line="240" w:lineRule="auto"/>
              <w:rPr>
                <w:sz w:val="28"/>
                <w:szCs w:val="28"/>
              </w:rPr>
            </w:pPr>
            <w:r>
              <w:rPr>
                <w:rFonts w:ascii="方正黑体_GBK" w:hAnsi="方正黑体_GBK" w:eastAsia="方正黑体_GBK" w:cs="宋体"/>
                <w:sz w:val="22"/>
                <w:szCs w:val="22"/>
              </w:rPr>
              <w:t>A份额：业绩比较基准为1.73%(年化)。</w:t>
            </w:r>
          </w:p>
          <w:p w14:paraId="1C849FBE">
            <w:pPr>
              <w:spacing w:line="240" w:lineRule="auto"/>
              <w:rPr>
                <w:sz w:val="28"/>
                <w:szCs w:val="28"/>
              </w:rPr>
            </w:pPr>
            <w:r>
              <w:rPr>
                <w:rFonts w:ascii="方正黑体_GBK" w:hAnsi="方正黑体_GBK" w:eastAsia="方正黑体_GBK" w:cs="宋体"/>
                <w:sz w:val="22"/>
                <w:szCs w:val="22"/>
              </w:rPr>
              <w:t>B份额：业绩比较基准为1.83%(年化)。</w:t>
            </w:r>
          </w:p>
          <w:p w14:paraId="7678743F">
            <w:pPr>
              <w:spacing w:line="240" w:lineRule="auto"/>
              <w:rPr>
                <w:sz w:val="28"/>
                <w:szCs w:val="28"/>
              </w:rPr>
            </w:pPr>
            <w:r>
              <w:rPr>
                <w:rFonts w:ascii="方正黑体_GBK" w:hAnsi="方正黑体_GBK" w:eastAsia="方正黑体_GBK" w:cs="宋体"/>
                <w:sz w:val="22"/>
                <w:szCs w:val="22"/>
              </w:rPr>
              <w:t>C份额：业绩比较基准为1.93%(年化)。</w:t>
            </w:r>
          </w:p>
          <w:p w14:paraId="0F8E41AC">
            <w:pPr>
              <w:spacing w:line="240" w:lineRule="auto"/>
              <w:rPr>
                <w:sz w:val="28"/>
                <w:szCs w:val="28"/>
              </w:rPr>
            </w:pPr>
            <w:r>
              <w:rPr>
                <w:rFonts w:ascii="方正黑体_GBK" w:hAnsi="方正黑体_GBK" w:eastAsia="方正黑体_GBK" w:cs="宋体"/>
                <w:sz w:val="22"/>
                <w:szCs w:val="22"/>
              </w:rPr>
              <w:t>E份额：业绩比较基准为1.88%(年化)。</w:t>
            </w:r>
          </w:p>
          <w:p w14:paraId="6518FC8D">
            <w:pPr>
              <w:spacing w:line="240" w:lineRule="auto"/>
              <w:rPr>
                <w:sz w:val="28"/>
                <w:szCs w:val="28"/>
              </w:rPr>
            </w:pPr>
            <w:r>
              <w:rPr>
                <w:rFonts w:ascii="方正黑体_GBK" w:hAnsi="方正黑体_GBK" w:eastAsia="方正黑体_GBK" w:cs="宋体"/>
                <w:sz w:val="22"/>
                <w:szCs w:val="22"/>
              </w:rPr>
              <w:t>J份额：业绩比较基准为1.73%(年化)。</w:t>
            </w:r>
          </w:p>
          <w:p w14:paraId="77A58869">
            <w:pPr>
              <w:spacing w:line="240" w:lineRule="auto"/>
              <w:rPr>
                <w:sz w:val="28"/>
                <w:szCs w:val="28"/>
              </w:rPr>
            </w:pPr>
            <w:r>
              <w:rPr>
                <w:rFonts w:ascii="方正黑体_GBK" w:hAnsi="方正黑体_GBK" w:eastAsia="方正黑体_GBK" w:cs="宋体"/>
                <w:sz w:val="22"/>
                <w:szCs w:val="22"/>
              </w:rPr>
              <w:t>K份额：业绩比较基准为1.98%(年化)。</w:t>
            </w:r>
          </w:p>
          <w:p w14:paraId="23A10409">
            <w:pPr>
              <w:spacing w:line="240" w:lineRule="auto"/>
              <w:rPr>
                <w:sz w:val="28"/>
                <w:szCs w:val="28"/>
              </w:rPr>
            </w:pPr>
            <w:r>
              <w:rPr>
                <w:rFonts w:ascii="方正黑体_GBK" w:hAnsi="方正黑体_GBK" w:eastAsia="方正黑体_GBK" w:cs="宋体"/>
                <w:sz w:val="22"/>
                <w:szCs w:val="22"/>
              </w:rPr>
              <w:t>L份额：业绩比较基准为1.98%(年化)。</w:t>
            </w:r>
          </w:p>
          <w:p w14:paraId="759B5395">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2B512960">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2F13F31B">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4C5DCA5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3268E3">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0B5FDE43">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6A07B0AB">
            <w:pPr>
              <w:spacing w:line="240" w:lineRule="auto"/>
              <w:rPr>
                <w:sz w:val="28"/>
                <w:szCs w:val="28"/>
              </w:rPr>
            </w:pPr>
            <w:r>
              <w:rPr>
                <w:rFonts w:ascii="方正黑体_GBK" w:hAnsi="方正黑体_GBK" w:eastAsia="方正黑体_GBK" w:cs="宋体"/>
                <w:b/>
                <w:sz w:val="22"/>
                <w:szCs w:val="22"/>
              </w:rPr>
              <w:t>赎回费：本理财产品暂不收取赎回费。</w:t>
            </w:r>
          </w:p>
          <w:p w14:paraId="02DA8C93">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579B8069">
            <w:pPr>
              <w:spacing w:line="240" w:lineRule="auto"/>
              <w:rPr>
                <w:sz w:val="28"/>
                <w:szCs w:val="28"/>
              </w:rPr>
            </w:pPr>
            <w:r>
              <w:rPr>
                <w:rFonts w:ascii="方正黑体_GBK" w:hAnsi="方正黑体_GBK" w:eastAsia="方正黑体_GBK" w:cs="宋体"/>
                <w:b/>
                <w:sz w:val="22"/>
                <w:szCs w:val="22"/>
              </w:rPr>
              <w:t>A份额：销售费年化0.2%</w:t>
            </w:r>
          </w:p>
          <w:p w14:paraId="59256D1A">
            <w:pPr>
              <w:spacing w:line="240" w:lineRule="auto"/>
              <w:rPr>
                <w:sz w:val="28"/>
                <w:szCs w:val="28"/>
              </w:rPr>
            </w:pPr>
            <w:r>
              <w:rPr>
                <w:rFonts w:ascii="方正黑体_GBK" w:hAnsi="方正黑体_GBK" w:eastAsia="方正黑体_GBK" w:cs="宋体"/>
                <w:b/>
                <w:sz w:val="22"/>
                <w:szCs w:val="22"/>
              </w:rPr>
              <w:t>B份额：销售费年化0.15%</w:t>
            </w:r>
          </w:p>
          <w:p w14:paraId="0CEF8E25">
            <w:pPr>
              <w:spacing w:line="240" w:lineRule="auto"/>
              <w:rPr>
                <w:sz w:val="28"/>
                <w:szCs w:val="28"/>
              </w:rPr>
            </w:pPr>
            <w:r>
              <w:rPr>
                <w:rFonts w:ascii="方正黑体_GBK" w:hAnsi="方正黑体_GBK" w:eastAsia="方正黑体_GBK" w:cs="宋体"/>
                <w:b/>
                <w:sz w:val="22"/>
                <w:szCs w:val="22"/>
              </w:rPr>
              <w:t>C份额：销售费年化0.05%</w:t>
            </w:r>
          </w:p>
          <w:p w14:paraId="78571599">
            <w:pPr>
              <w:spacing w:line="240" w:lineRule="auto"/>
              <w:rPr>
                <w:sz w:val="28"/>
                <w:szCs w:val="28"/>
              </w:rPr>
            </w:pPr>
            <w:r>
              <w:rPr>
                <w:rFonts w:ascii="方正黑体_GBK" w:hAnsi="方正黑体_GBK" w:eastAsia="方正黑体_GBK" w:cs="宋体"/>
                <w:b/>
                <w:sz w:val="22"/>
                <w:szCs w:val="22"/>
              </w:rPr>
              <w:t>E份额：销售费年化0.1%</w:t>
            </w:r>
          </w:p>
          <w:p w14:paraId="1094A071">
            <w:pPr>
              <w:spacing w:line="240" w:lineRule="auto"/>
              <w:rPr>
                <w:sz w:val="28"/>
                <w:szCs w:val="28"/>
              </w:rPr>
            </w:pPr>
            <w:r>
              <w:rPr>
                <w:rFonts w:ascii="方正黑体_GBK" w:hAnsi="方正黑体_GBK" w:eastAsia="方正黑体_GBK" w:cs="宋体"/>
                <w:b/>
                <w:sz w:val="22"/>
                <w:szCs w:val="22"/>
              </w:rPr>
              <w:t>J份额：销售费年化0.2%</w:t>
            </w:r>
          </w:p>
          <w:p w14:paraId="4E168FB3">
            <w:pPr>
              <w:spacing w:line="240" w:lineRule="auto"/>
              <w:rPr>
                <w:sz w:val="28"/>
                <w:szCs w:val="28"/>
              </w:rPr>
            </w:pPr>
            <w:r>
              <w:rPr>
                <w:rFonts w:ascii="方正黑体_GBK" w:hAnsi="方正黑体_GBK" w:eastAsia="方正黑体_GBK" w:cs="宋体"/>
                <w:b/>
                <w:sz w:val="22"/>
                <w:szCs w:val="22"/>
              </w:rPr>
              <w:t>K份额：销售费年化0.05%</w:t>
            </w:r>
          </w:p>
          <w:p w14:paraId="1819B9FA">
            <w:pPr>
              <w:spacing w:line="240" w:lineRule="auto"/>
              <w:rPr>
                <w:sz w:val="28"/>
                <w:szCs w:val="28"/>
              </w:rPr>
            </w:pPr>
            <w:r>
              <w:rPr>
                <w:rFonts w:ascii="方正黑体_GBK" w:hAnsi="方正黑体_GBK" w:eastAsia="方正黑体_GBK" w:cs="宋体"/>
                <w:b/>
                <w:sz w:val="22"/>
                <w:szCs w:val="22"/>
              </w:rPr>
              <w:t>L份额：销售费年化0.05%</w:t>
            </w:r>
          </w:p>
          <w:p w14:paraId="1527312E">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683DDD4">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7E47A8F">
            <w:pPr>
              <w:spacing w:line="240" w:lineRule="auto"/>
              <w:rPr>
                <w:sz w:val="28"/>
                <w:szCs w:val="28"/>
              </w:rPr>
            </w:pPr>
            <w:r>
              <w:rPr>
                <w:rFonts w:ascii="方正黑体_GBK" w:hAnsi="方正黑体_GBK" w:eastAsia="方正黑体_GBK" w:cs="宋体"/>
                <w:b/>
                <w:sz w:val="22"/>
                <w:szCs w:val="22"/>
              </w:rPr>
              <w:t>A份额：固定管理费年化0.15%</w:t>
            </w:r>
          </w:p>
          <w:p w14:paraId="47DD341F">
            <w:pPr>
              <w:spacing w:line="240" w:lineRule="auto"/>
              <w:rPr>
                <w:sz w:val="28"/>
                <w:szCs w:val="28"/>
              </w:rPr>
            </w:pPr>
            <w:r>
              <w:rPr>
                <w:rFonts w:ascii="方正黑体_GBK" w:hAnsi="方正黑体_GBK" w:eastAsia="方正黑体_GBK" w:cs="宋体"/>
                <w:b/>
                <w:sz w:val="22"/>
                <w:szCs w:val="22"/>
              </w:rPr>
              <w:t>B份额：固定管理费年化0.1%</w:t>
            </w:r>
          </w:p>
          <w:p w14:paraId="1D8B623A">
            <w:pPr>
              <w:spacing w:line="240" w:lineRule="auto"/>
              <w:rPr>
                <w:sz w:val="28"/>
                <w:szCs w:val="28"/>
              </w:rPr>
            </w:pPr>
            <w:r>
              <w:rPr>
                <w:rFonts w:ascii="方正黑体_GBK" w:hAnsi="方正黑体_GBK" w:eastAsia="方正黑体_GBK" w:cs="宋体"/>
                <w:b/>
                <w:sz w:val="22"/>
                <w:szCs w:val="22"/>
              </w:rPr>
              <w:t>C份额：固定管理费年化0.1%</w:t>
            </w:r>
          </w:p>
          <w:p w14:paraId="2900F4B6">
            <w:pPr>
              <w:spacing w:line="240" w:lineRule="auto"/>
              <w:rPr>
                <w:sz w:val="28"/>
                <w:szCs w:val="28"/>
              </w:rPr>
            </w:pPr>
            <w:r>
              <w:rPr>
                <w:rFonts w:ascii="方正黑体_GBK" w:hAnsi="方正黑体_GBK" w:eastAsia="方正黑体_GBK" w:cs="宋体"/>
                <w:b/>
                <w:sz w:val="22"/>
                <w:szCs w:val="22"/>
              </w:rPr>
              <w:t>E份额：固定管理费年化0.1%</w:t>
            </w:r>
          </w:p>
          <w:p w14:paraId="5FDDCDEC">
            <w:pPr>
              <w:spacing w:line="240" w:lineRule="auto"/>
              <w:rPr>
                <w:sz w:val="28"/>
                <w:szCs w:val="28"/>
              </w:rPr>
            </w:pPr>
            <w:r>
              <w:rPr>
                <w:rFonts w:ascii="方正黑体_GBK" w:hAnsi="方正黑体_GBK" w:eastAsia="方正黑体_GBK" w:cs="宋体"/>
                <w:b/>
                <w:sz w:val="22"/>
                <w:szCs w:val="22"/>
              </w:rPr>
              <w:t>J份额：固定管理费年化0.15%</w:t>
            </w:r>
          </w:p>
          <w:p w14:paraId="5E69F28C">
            <w:pPr>
              <w:spacing w:line="240" w:lineRule="auto"/>
              <w:rPr>
                <w:sz w:val="28"/>
                <w:szCs w:val="28"/>
              </w:rPr>
            </w:pPr>
            <w:r>
              <w:rPr>
                <w:rFonts w:ascii="方正黑体_GBK" w:hAnsi="方正黑体_GBK" w:eastAsia="方正黑体_GBK" w:cs="宋体"/>
                <w:b/>
                <w:sz w:val="22"/>
                <w:szCs w:val="22"/>
              </w:rPr>
              <w:t>K份额：固定管理费年化0.05%</w:t>
            </w:r>
          </w:p>
          <w:p w14:paraId="67452AFF">
            <w:pPr>
              <w:spacing w:line="240" w:lineRule="auto"/>
              <w:rPr>
                <w:sz w:val="28"/>
                <w:szCs w:val="28"/>
              </w:rPr>
            </w:pPr>
            <w:r>
              <w:rPr>
                <w:rFonts w:ascii="方正黑体_GBK" w:hAnsi="方正黑体_GBK" w:eastAsia="方正黑体_GBK" w:cs="宋体"/>
                <w:b/>
                <w:sz w:val="22"/>
                <w:szCs w:val="22"/>
              </w:rPr>
              <w:t>L份额：固定管理费年化0.05%</w:t>
            </w:r>
          </w:p>
          <w:p w14:paraId="0A9D6A17">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592C0BC7">
            <w:pPr>
              <w:spacing w:line="240" w:lineRule="auto"/>
              <w:rPr>
                <w:sz w:val="28"/>
                <w:szCs w:val="28"/>
              </w:rPr>
            </w:pPr>
            <w:r>
              <w:rPr>
                <w:rFonts w:ascii="方正黑体_GBK" w:hAnsi="方正黑体_GBK" w:eastAsia="方正黑体_GBK" w:cs="宋体"/>
                <w:b/>
                <w:sz w:val="22"/>
                <w:szCs w:val="22"/>
              </w:rPr>
              <w:t>托管费：</w:t>
            </w:r>
          </w:p>
          <w:p w14:paraId="3DD1963A">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70A9665B">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53588C91">
            <w:pPr>
              <w:spacing w:line="240" w:lineRule="auto"/>
              <w:rPr>
                <w:sz w:val="28"/>
                <w:szCs w:val="28"/>
              </w:rPr>
            </w:pPr>
            <w:r>
              <w:rPr>
                <w:rFonts w:ascii="方正黑体_GBK" w:hAnsi="方正黑体_GBK" w:eastAsia="方正黑体_GBK" w:cs="宋体"/>
                <w:b/>
                <w:sz w:val="22"/>
                <w:szCs w:val="22"/>
              </w:rPr>
              <w:t>业绩报酬：</w:t>
            </w:r>
          </w:p>
          <w:p w14:paraId="0D057F50">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A份额：到期兑付时，当期产品投资的实际资产组合收益（扣除销售费、固定管理费、托管费等相关费用）超过1.73%（年化，即产品该份额对应的业绩报酬计提基准）时，超过部分管理人将按60%收取业绩报酬。</w:t>
            </w:r>
          </w:p>
          <w:p w14:paraId="53E7465B">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B份额：到期兑付时，当期产品投资的实际资产组合收益（扣除销售费、固定管理费、托管费等相关费用）超过1.83%（年化，即产品该份额对应的业绩报酬计提基准）时，超过部分管理人将按60%收取业绩报酬。</w:t>
            </w:r>
          </w:p>
          <w:p w14:paraId="73B1D451">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C份额：到期兑付时，当期产品投资的实际资产组合收益（扣除销售费、固定管理费、托管费等相关费用）超过1.93%（年化，即产品该份额对应的业绩报酬计提基准）时，超过部分管理人将按60%收取业绩报酬。</w:t>
            </w:r>
          </w:p>
          <w:p w14:paraId="36DBE8D8">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E份额：到期兑付时，当期产品投资的实际资产组合收益（扣除销售费、固定管理费、托管费等相关费用）超过1.88%（年化，即产品该份额对应的业绩报酬计提基准）时，超过部分管理人将按60%收取业绩报酬。</w:t>
            </w:r>
          </w:p>
          <w:p w14:paraId="7FE8AA5A">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J份额：到期兑付时，当期产品投资的实际资产组合收益（扣除销售费、固定管理费、托管费等相关费用）超过1.73%（年化，即产品该份额对应的业绩报酬计提基准）时，超过部分管理人将按60%收取业绩报酬。</w:t>
            </w:r>
          </w:p>
          <w:p w14:paraId="53825DF8">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K份额：到期兑付时，当期产品投资的实际资产组合收益（扣除销售费、固定管理费、托管费等相关费用）超过1.98%（年化，即产品该份额对应的业绩报酬计提基准）时，超过部分管理人将按60%收取业绩报酬。</w:t>
            </w:r>
          </w:p>
          <w:p w14:paraId="1721EE0E">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L份额：到期兑付时，当期产品投资的实际资产组合收益（扣除销售费、固定管理费、托管费等相关费用）超过1.98%（年化，即产品该份额对应的业绩报酬计提基准）时，超过部分管理人将按60%收取业绩报酬。</w:t>
            </w:r>
          </w:p>
          <w:p w14:paraId="0FD2C1C1">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1E447A3">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49EED308">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6575584B">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1B4966EF">
            <w:pPr>
              <w:spacing w:line="240" w:lineRule="auto"/>
              <w:rPr>
                <w:sz w:val="28"/>
                <w:szCs w:val="28"/>
              </w:rPr>
            </w:pPr>
            <w:r>
              <w:rPr>
                <w:rFonts w:ascii="方正黑体_GBK" w:hAnsi="方正黑体_GBK" w:eastAsia="方正黑体_GBK" w:cs="宋体"/>
                <w:b/>
                <w:sz w:val="22"/>
                <w:szCs w:val="22"/>
              </w:rPr>
              <w:t>计算本区间业绩报酬的公式如下：</w:t>
            </w:r>
          </w:p>
          <w:p w14:paraId="2FEBA6FE">
            <w:pPr>
              <w:spacing w:line="240" w:lineRule="auto"/>
              <w:rPr>
                <w:sz w:val="28"/>
                <w:szCs w:val="28"/>
              </w:rPr>
            </w:pPr>
            <w:r>
              <w:rPr>
                <w:rFonts w:ascii="方正黑体_GBK" w:hAnsi="方正黑体_GBK" w:eastAsia="方正黑体_GBK" w:cs="宋体"/>
                <w:b/>
                <w:sz w:val="22"/>
                <w:szCs w:val="22"/>
              </w:rPr>
              <w:t>A={B-C*D*(1+E*F/365)}*G。</w:t>
            </w:r>
          </w:p>
          <w:p w14:paraId="1BEEC5B6">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2DFDA21D">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51B6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70C6A71A">
            <w:pPr>
              <w:spacing w:line="240" w:lineRule="auto"/>
              <w:rPr>
                <w:sz w:val="28"/>
                <w:szCs w:val="28"/>
              </w:rPr>
            </w:pPr>
            <w:r>
              <w:rPr>
                <w:rFonts w:ascii="方正黑体_GBK" w:hAnsi="方正黑体_GBK" w:eastAsia="方正黑体_GBK" w:cs="宋体"/>
                <w:sz w:val="22"/>
                <w:szCs w:val="22"/>
              </w:rPr>
              <w:t>具体详见本理财产品风险揭示书。</w:t>
            </w:r>
          </w:p>
        </w:tc>
      </w:tr>
      <w:tr w14:paraId="06DB860F">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1418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0BB086B">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2EA90F73">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397E7310">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72DD3C12">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69ACF89">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74411400">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2065A287">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3ED099CE">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FCCDED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ADEE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4405FF83">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47A491C4">
            <w:pPr>
              <w:spacing w:line="240" w:lineRule="auto"/>
              <w:jc w:val="left"/>
              <w:rPr>
                <w:sz w:val="28"/>
                <w:szCs w:val="28"/>
              </w:rPr>
            </w:pPr>
            <w:r>
              <w:rPr>
                <w:rFonts w:ascii="方正黑体_GBK" w:hAnsi="方正黑体_GBK" w:eastAsia="方正黑体_GBK" w:cs="宋体"/>
                <w:sz w:val="22"/>
                <w:szCs w:val="22"/>
              </w:rPr>
              <w:t>销售机构主要职责如下：</w:t>
            </w:r>
          </w:p>
          <w:p w14:paraId="6AF0A235">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12C79567">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23B668BC">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15F5B7E1">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2BEFD323">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7999122E">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23529B8D">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CF5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9107ACC">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2966E473">
            <w:pPr>
              <w:spacing w:line="240" w:lineRule="auto"/>
              <w:rPr>
                <w:sz w:val="28"/>
                <w:szCs w:val="28"/>
              </w:rPr>
            </w:pPr>
            <w:r>
              <w:rPr>
                <w:rFonts w:ascii="方正黑体_GBK" w:hAnsi="方正黑体_GBK" w:eastAsia="方正黑体_GBK" w:cs="宋体"/>
                <w:sz w:val="22"/>
                <w:szCs w:val="22"/>
              </w:rPr>
              <w:t>1.安全保管理财产品财产；</w:t>
            </w:r>
          </w:p>
          <w:p w14:paraId="537F3250">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600A0034">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14074BA7">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A971B90">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2EA84C7">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EF4A880">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1D05C4D7">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36E11F99">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3B58D56D">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2650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4D84B142">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119D77A8">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16B70D87">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21996E8B">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354A943A">
            <w:pPr>
              <w:spacing w:line="240" w:lineRule="auto"/>
              <w:rPr>
                <w:sz w:val="28"/>
                <w:szCs w:val="28"/>
              </w:rPr>
            </w:pPr>
            <w:r>
              <w:rPr>
                <w:rFonts w:ascii="方正黑体_GBK" w:hAnsi="方正黑体_GBK" w:eastAsia="方正黑体_GBK" w:cs="宋体"/>
                <w:sz w:val="22"/>
                <w:szCs w:val="22"/>
              </w:rPr>
              <w:t>上述投资合作机构简介：</w:t>
            </w:r>
          </w:p>
          <w:p w14:paraId="57D8D372">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16078727">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60DFB4F9">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4C7FF6CC">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2C951720">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0E9991B">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27D3268D">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F4B39ED">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138BDC6A">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58545D09">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7ADFBB62">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63490EA1">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36B180D9">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7EDB3ED2">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4F4FCCD8">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31F1C352">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09B0059A">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0F66EBB0">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239B1829">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695C3384">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04C7B271">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0C24D133">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9DB5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2289EFC7">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0B513F3A">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179A6B9F">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7BB01B5F">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4B81AF3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C0108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1A35F500">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3EA124B4">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6CB9DC5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4248EDF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6BB9CEDA">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5EDCCB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25FB02ED">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20CC95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3CC45ED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03F7AC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48C9932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854587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7209186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448D24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0D0D91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2290E10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7722799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15A52D2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476F7173">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B4F92B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5FDBB42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59B3B5B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1E7E0A4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22D3602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16A4839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3ABDF87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2FAECC7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CD3D24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2963DF8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0914ED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64C2900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637D1BD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651DD30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035208E2">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南银理财珠联璧合鑫逸稳三个月138期封闭式公募人民币理财产品</w:t>
      </w:r>
      <w:r>
        <w:rPr>
          <w:rFonts w:hint="eastAsia" w:ascii="方正黑体_GBK" w:hAnsi="方正黑体_GBK" w:eastAsia="方正黑体_GBK"/>
          <w:vanish w:val="0"/>
          <w:color w:val="3D3D3D"/>
          <w:kern w:val="0"/>
          <w:sz w:val="20"/>
          <w:szCs w:val="20"/>
        </w:rPr>
        <w:t>。</w:t>
      </w:r>
    </w:p>
    <w:p w14:paraId="63CA6C8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76787B0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343A9AB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E05E6B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6CEFA71A">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66C40F8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A4D6B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715576E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51AB7DF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745A007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6C62269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0F40033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34343D2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720749D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6BA21E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73E2113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026B992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6AABA0F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215CB716">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0474E7A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787026E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6D127BE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26C402E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65D2CA4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1BEEC4F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6E471DD2">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69EFEF5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49B30D3E">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193449A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632A6E4B">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69185365">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5A9EA2E7">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3F60CEC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3E93358">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12C187B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63909B47">
      <w:pPr>
        <w:spacing w:line="240" w:lineRule="auto"/>
        <w:ind w:firstLine="300"/>
        <w:jc w:val="both"/>
        <w:rPr>
          <w:sz w:val="28"/>
          <w:szCs w:val="28"/>
        </w:rPr>
      </w:pPr>
      <w:r>
        <w:rPr>
          <w:rFonts w:ascii="方正黑体_GBK" w:hAnsi="方正黑体_GBK" w:eastAsia="方正黑体_GBK" w:cs="宋体"/>
          <w:sz w:val="20"/>
          <w:szCs w:val="24"/>
        </w:rPr>
        <w:t>（一）估值日</w:t>
      </w:r>
    </w:p>
    <w:p w14:paraId="39BF72A2">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439758C2">
      <w:pPr>
        <w:spacing w:line="240" w:lineRule="auto"/>
        <w:ind w:firstLine="300"/>
        <w:jc w:val="both"/>
        <w:rPr>
          <w:sz w:val="28"/>
          <w:szCs w:val="28"/>
        </w:rPr>
      </w:pPr>
      <w:r>
        <w:rPr>
          <w:rFonts w:ascii="方正黑体_GBK" w:hAnsi="方正黑体_GBK" w:eastAsia="方正黑体_GBK" w:cs="宋体"/>
          <w:sz w:val="20"/>
          <w:szCs w:val="24"/>
        </w:rPr>
        <w:t>（二）估值对象</w:t>
      </w:r>
    </w:p>
    <w:p w14:paraId="1E7947A1">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44CA0092">
      <w:pPr>
        <w:spacing w:line="240" w:lineRule="auto"/>
        <w:ind w:firstLine="300"/>
        <w:jc w:val="both"/>
        <w:rPr>
          <w:sz w:val="28"/>
          <w:szCs w:val="28"/>
        </w:rPr>
      </w:pPr>
      <w:r>
        <w:rPr>
          <w:rFonts w:ascii="方正黑体_GBK" w:hAnsi="方正黑体_GBK" w:eastAsia="方正黑体_GBK" w:cs="宋体"/>
          <w:sz w:val="20"/>
          <w:szCs w:val="24"/>
        </w:rPr>
        <w:t>（三）估值目的</w:t>
      </w:r>
    </w:p>
    <w:p w14:paraId="0FAA77AB">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3818EDF0">
      <w:pPr>
        <w:spacing w:line="240" w:lineRule="auto"/>
        <w:ind w:firstLine="300"/>
        <w:jc w:val="both"/>
        <w:rPr>
          <w:sz w:val="28"/>
          <w:szCs w:val="28"/>
        </w:rPr>
      </w:pPr>
      <w:r>
        <w:rPr>
          <w:rFonts w:ascii="方正黑体_GBK" w:hAnsi="方正黑体_GBK" w:eastAsia="方正黑体_GBK" w:cs="宋体"/>
          <w:sz w:val="20"/>
          <w:szCs w:val="24"/>
        </w:rPr>
        <w:t>（四）估值原则</w:t>
      </w:r>
    </w:p>
    <w:p w14:paraId="5115776B">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11832B33">
      <w:pPr>
        <w:spacing w:line="240" w:lineRule="auto"/>
        <w:ind w:firstLine="300"/>
        <w:jc w:val="both"/>
        <w:rPr>
          <w:sz w:val="28"/>
          <w:szCs w:val="28"/>
        </w:rPr>
      </w:pPr>
      <w:r>
        <w:rPr>
          <w:rFonts w:ascii="方正黑体_GBK" w:hAnsi="方正黑体_GBK" w:eastAsia="方正黑体_GBK" w:cs="宋体"/>
          <w:sz w:val="20"/>
          <w:szCs w:val="24"/>
        </w:rPr>
        <w:t>（五）估值方法</w:t>
      </w:r>
    </w:p>
    <w:p w14:paraId="4F89015F">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0CABB6E3">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54D173EA">
      <w:pPr>
        <w:spacing w:line="240" w:lineRule="auto"/>
        <w:ind w:firstLine="440"/>
        <w:rPr>
          <w:sz w:val="28"/>
          <w:szCs w:val="28"/>
        </w:rPr>
      </w:pPr>
      <w:r>
        <w:rPr>
          <w:rFonts w:ascii="方正黑体_GBK" w:hAnsi="方正黑体_GBK" w:eastAsia="方正黑体_GBK" w:cs="宋体"/>
          <w:sz w:val="22"/>
          <w:szCs w:val="24"/>
        </w:rPr>
        <w:t>以本金列示，逐日计提利息。</w:t>
      </w:r>
    </w:p>
    <w:p w14:paraId="69F205E6">
      <w:pPr>
        <w:spacing w:line="240" w:lineRule="auto"/>
        <w:ind w:firstLine="440"/>
        <w:rPr>
          <w:sz w:val="28"/>
          <w:szCs w:val="28"/>
        </w:rPr>
      </w:pPr>
      <w:r>
        <w:rPr>
          <w:rFonts w:ascii="方正黑体_GBK" w:hAnsi="方正黑体_GBK" w:eastAsia="方正黑体_GBK" w:cs="宋体"/>
          <w:sz w:val="22"/>
          <w:szCs w:val="24"/>
        </w:rPr>
        <w:t>2.债券类资产</w:t>
      </w:r>
    </w:p>
    <w:p w14:paraId="3BF85C5B">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4AAA6E1B">
      <w:pPr>
        <w:spacing w:line="240" w:lineRule="auto"/>
        <w:ind w:firstLine="440"/>
        <w:rPr>
          <w:sz w:val="28"/>
          <w:szCs w:val="28"/>
        </w:rPr>
      </w:pPr>
      <w:r>
        <w:rPr>
          <w:rFonts w:ascii="方正黑体_GBK" w:hAnsi="方正黑体_GBK" w:eastAsia="方正黑体_GBK" w:cs="宋体"/>
          <w:sz w:val="22"/>
          <w:szCs w:val="24"/>
        </w:rPr>
        <w:t>3.非标准化债权类资产</w:t>
      </w:r>
    </w:p>
    <w:p w14:paraId="30607E6B">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6CB87A94">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8875CB1">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421F0842">
      <w:pPr>
        <w:spacing w:line="240" w:lineRule="auto"/>
        <w:ind w:firstLine="440"/>
        <w:rPr>
          <w:sz w:val="28"/>
          <w:szCs w:val="28"/>
        </w:rPr>
      </w:pPr>
      <w:r>
        <w:rPr>
          <w:rFonts w:ascii="方正黑体_GBK" w:hAnsi="方正黑体_GBK" w:eastAsia="方正黑体_GBK" w:cs="宋体"/>
          <w:sz w:val="22"/>
          <w:szCs w:val="24"/>
        </w:rPr>
        <w:t>5.股权类及其他资产</w:t>
      </w:r>
    </w:p>
    <w:p w14:paraId="587EB67A">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26F0005E">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57EB04A5">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49FC4D8C">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1BCB30B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7911E521">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47E5D553">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2C5AF3A2">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35B92A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5E0A77F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1D463295">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5F46865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5092F645">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356EB2E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3234C65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7F4D397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0FE81778">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7EF6566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7A18554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7725AA9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6329DBE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3614802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6B2890FF">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7CF9777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5F4582BF">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72618B5B">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11A79D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62BB3A98">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1EDF84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4A53363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6AD952A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73BCC2D5">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04E890F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20A74FFA">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60EF6E2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0D4F3A7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58D6105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1E5A13C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5963705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5EC63CE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3719F833">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DA61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DD70D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CDD70D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0DAF">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FB05F"/>
    <w:multiLevelType w:val="multilevel"/>
    <w:tmpl w:val="E97FB05F"/>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EFFF8E52"/>
    <w:multiLevelType w:val="multilevel"/>
    <w:tmpl w:val="EFFF8E52"/>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2">
    <w:nsid w:val="5E768AFD"/>
    <w:multiLevelType w:val="multilevel"/>
    <w:tmpl w:val="5E768AFD"/>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3">
    <w:nsid w:val="6DFE34C4"/>
    <w:multiLevelType w:val="multilevel"/>
    <w:tmpl w:val="6DFE34C4"/>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EF7D1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8aba823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c8e6e074"/>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54873f49"/>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08c938b2"/>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a036fa78"/>
    <w:uiPriority w:val="0"/>
  </w:style>
  <w:style w:type="paragraph" w:customStyle="1" w:styleId="20">
    <w:name w:val="toc 16a0667b1"/>
    <w:basedOn w:val="15"/>
    <w:next w:val="1"/>
    <w:autoRedefine/>
    <w:uiPriority w:val="0"/>
  </w:style>
  <w:style w:type="paragraph" w:customStyle="1" w:styleId="21">
    <w:name w:val="toc 21143a563"/>
    <w:basedOn w:val="15"/>
    <w:next w:val="1"/>
    <w:autoRedefine/>
    <w:uiPriority w:val="0"/>
    <w:pPr>
      <w:ind w:left="420"/>
    </w:pPr>
  </w:style>
  <w:style w:type="paragraph" w:customStyle="1" w:styleId="22">
    <w:name w:val="toc 34fe5d251"/>
    <w:basedOn w:val="15"/>
    <w:next w:val="1"/>
    <w:autoRedefine/>
    <w:uiPriority w:val="0"/>
    <w:pPr>
      <w:ind w:left="840"/>
    </w:pPr>
  </w:style>
  <w:style w:type="paragraph" w:customStyle="1" w:styleId="23">
    <w:name w:val="toc 44df8d6ba"/>
    <w:basedOn w:val="15"/>
    <w:next w:val="1"/>
    <w:autoRedefine/>
    <w:uiPriority w:val="0"/>
    <w:pPr>
      <w:ind w:left="1260"/>
    </w:pPr>
  </w:style>
  <w:style w:type="paragraph" w:customStyle="1" w:styleId="24">
    <w:name w:val="toc 59110e067"/>
    <w:basedOn w:val="15"/>
    <w:next w:val="1"/>
    <w:autoRedefine/>
    <w:uiPriority w:val="0"/>
    <w:pPr>
      <w:ind w:left="1680"/>
    </w:pPr>
  </w:style>
  <w:style w:type="paragraph" w:customStyle="1" w:styleId="25">
    <w:name w:val="header6d7cd3ca"/>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57a98d6a"/>
    <w:basedOn w:val="15"/>
    <w:uiPriority w:val="0"/>
    <w:pPr>
      <w:tabs>
        <w:tab w:val="center" w:pos="4153"/>
        <w:tab w:val="right" w:pos="8307"/>
      </w:tabs>
      <w:adjustRightInd/>
      <w:snapToGrid w:val="0"/>
      <w:contextualSpacing w:val="0"/>
      <w:jc w:val="left"/>
    </w:pPr>
    <w:rPr>
      <w:sz w:val="18"/>
    </w:rPr>
  </w:style>
  <w:style w:type="character" w:customStyle="1" w:styleId="27">
    <w:name w:val="Strongce425f56"/>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a7493a7c"/>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6b5493ae"/>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ef2db32"/>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83cd43b7"/>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95a354ee"/>
    <w:uiPriority w:val="0"/>
  </w:style>
  <w:style w:type="paragraph" w:customStyle="1" w:styleId="34">
    <w:name w:val="Normal Indente619a56a"/>
    <w:basedOn w:val="29"/>
    <w:uiPriority w:val="0"/>
    <w:pPr>
      <w:ind w:firstLine="200" w:firstLineChars="200"/>
    </w:pPr>
  </w:style>
  <w:style w:type="paragraph" w:customStyle="1" w:styleId="35">
    <w:name w:val="toc 5c5c1fdbd"/>
    <w:basedOn w:val="29"/>
    <w:next w:val="1"/>
    <w:uiPriority w:val="0"/>
    <w:pPr>
      <w:ind w:left="1680"/>
    </w:pPr>
  </w:style>
  <w:style w:type="paragraph" w:customStyle="1" w:styleId="36">
    <w:name w:val="toc 3eeadd647"/>
    <w:basedOn w:val="29"/>
    <w:next w:val="1"/>
    <w:uiPriority w:val="0"/>
    <w:pPr>
      <w:ind w:left="840"/>
    </w:pPr>
  </w:style>
  <w:style w:type="paragraph" w:customStyle="1" w:styleId="37">
    <w:name w:val="footer12f0615e"/>
    <w:basedOn w:val="29"/>
    <w:uiPriority w:val="0"/>
    <w:pPr>
      <w:tabs>
        <w:tab w:val="center" w:pos="4153"/>
        <w:tab w:val="right" w:pos="8307"/>
      </w:tabs>
      <w:adjustRightInd/>
      <w:snapToGrid w:val="0"/>
      <w:contextualSpacing w:val="0"/>
      <w:jc w:val="left"/>
    </w:pPr>
    <w:rPr>
      <w:sz w:val="18"/>
    </w:rPr>
  </w:style>
  <w:style w:type="paragraph" w:customStyle="1" w:styleId="38">
    <w:name w:val="header9c9e7d1f"/>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8054e31b"/>
    <w:basedOn w:val="29"/>
    <w:next w:val="1"/>
    <w:uiPriority w:val="0"/>
  </w:style>
  <w:style w:type="paragraph" w:customStyle="1" w:styleId="40">
    <w:name w:val="toc 46c5734fe"/>
    <w:basedOn w:val="29"/>
    <w:next w:val="1"/>
    <w:uiPriority w:val="0"/>
    <w:pPr>
      <w:ind w:left="1260"/>
    </w:pPr>
  </w:style>
  <w:style w:type="paragraph" w:customStyle="1" w:styleId="41">
    <w:name w:val="toc 2ef07be31"/>
    <w:basedOn w:val="29"/>
    <w:next w:val="1"/>
    <w:uiPriority w:val="0"/>
    <w:pPr>
      <w:ind w:left="420"/>
    </w:pPr>
  </w:style>
  <w:style w:type="paragraph" w:customStyle="1" w:styleId="42">
    <w:name w:val="Normal (Web)383adde4"/>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fdfecacefdfecace"/>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7872cbd57872cbd5"/>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a46772f7a46772f7"/>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1498c6dd1498c6dd"/>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1221672b1221672b"/>
    <w:uiPriority w:val="0"/>
  </w:style>
  <w:style w:type="paragraph" w:customStyle="1" w:styleId="49">
    <w:name w:val="引文目录182addf6a82addf6a"/>
    <w:basedOn w:val="44"/>
    <w:next w:val="1"/>
    <w:uiPriority w:val="0"/>
    <w:pPr>
      <w:ind w:left="200" w:leftChars="200"/>
    </w:pPr>
  </w:style>
  <w:style w:type="paragraph" w:customStyle="1" w:styleId="50">
    <w:name w:val="toc 524756dee24756dee"/>
    <w:basedOn w:val="44"/>
    <w:next w:val="1"/>
    <w:uiPriority w:val="0"/>
    <w:pPr>
      <w:ind w:left="1680"/>
    </w:pPr>
  </w:style>
  <w:style w:type="paragraph" w:customStyle="1" w:styleId="51">
    <w:name w:val="toc 38c762af68c762af6"/>
    <w:basedOn w:val="44"/>
    <w:next w:val="1"/>
    <w:uiPriority w:val="0"/>
    <w:pPr>
      <w:ind w:left="840"/>
    </w:pPr>
  </w:style>
  <w:style w:type="paragraph" w:customStyle="1" w:styleId="52">
    <w:name w:val="footerce8b1cc1ce8b1cc1"/>
    <w:basedOn w:val="44"/>
    <w:uiPriority w:val="0"/>
    <w:pPr>
      <w:tabs>
        <w:tab w:val="center" w:pos="4153"/>
        <w:tab w:val="right" w:pos="8307"/>
      </w:tabs>
      <w:adjustRightInd/>
      <w:snapToGrid w:val="0"/>
      <w:contextualSpacing w:val="0"/>
      <w:jc w:val="left"/>
    </w:pPr>
    <w:rPr>
      <w:sz w:val="18"/>
    </w:rPr>
  </w:style>
  <w:style w:type="paragraph" w:customStyle="1" w:styleId="53">
    <w:name w:val="header0c31b8470c31b847"/>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9fd8fe509fd8fe50"/>
    <w:basedOn w:val="44"/>
    <w:next w:val="1"/>
    <w:uiPriority w:val="0"/>
  </w:style>
  <w:style w:type="paragraph" w:customStyle="1" w:styleId="55">
    <w:name w:val="toc 44b1cc6974b1cc697"/>
    <w:basedOn w:val="44"/>
    <w:next w:val="1"/>
    <w:uiPriority w:val="0"/>
    <w:pPr>
      <w:ind w:left="1260"/>
    </w:pPr>
  </w:style>
  <w:style w:type="paragraph" w:customStyle="1" w:styleId="56">
    <w:name w:val="toc 2f6ee0cedf6ee0ced"/>
    <w:basedOn w:val="44"/>
    <w:next w:val="1"/>
    <w:uiPriority w:val="0"/>
    <w:pPr>
      <w:ind w:left="420"/>
    </w:pPr>
  </w:style>
  <w:style w:type="paragraph" w:customStyle="1" w:styleId="57">
    <w:name w:val="列出段落1cecf053fcecf053f"/>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43</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2026-06-06T23:01:52Z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